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516D9" w14:textId="77777777" w:rsidR="00CE5C22" w:rsidRPr="00666824" w:rsidRDefault="00D1704D" w:rsidP="00161E9A">
      <w:pPr>
        <w:pStyle w:val="Body"/>
        <w:jc w:val="center"/>
        <w:rPr>
          <w:rFonts w:ascii="Arial" w:hAnsi="Arial" w:cs="Arial"/>
          <w:b/>
        </w:rPr>
      </w:pPr>
      <w:r w:rsidRPr="00666824">
        <w:rPr>
          <w:rFonts w:ascii="Arial" w:hAnsi="Arial" w:cs="Arial"/>
          <w:b/>
        </w:rPr>
        <w:t>Matters Reserved for the Board</w:t>
      </w:r>
    </w:p>
    <w:p w14:paraId="1FDA37BC" w14:textId="77777777" w:rsidR="00CE5C22" w:rsidRDefault="00CE5C22">
      <w:pPr>
        <w:pStyle w:val="Body"/>
        <w:rPr>
          <w:rFonts w:ascii="Arial" w:hAnsi="Arial" w:cs="Arial"/>
        </w:rPr>
      </w:pPr>
    </w:p>
    <w:p w14:paraId="1198E3EB" w14:textId="77777777" w:rsidR="00C65792" w:rsidRDefault="00C65792">
      <w:pPr>
        <w:pStyle w:val="Body"/>
        <w:rPr>
          <w:rFonts w:ascii="Arial" w:hAnsi="Arial" w:cs="Arial"/>
        </w:rPr>
      </w:pPr>
    </w:p>
    <w:p w14:paraId="316C5FD3" w14:textId="77777777" w:rsidR="00CE5C22" w:rsidRDefault="00D1704D" w:rsidP="00161E9A">
      <w:pPr>
        <w:pStyle w:val="Body"/>
        <w:numPr>
          <w:ilvl w:val="0"/>
          <w:numId w:val="1"/>
        </w:numPr>
        <w:rPr>
          <w:rFonts w:ascii="Arial" w:hAnsi="Arial" w:cs="Arial"/>
        </w:rPr>
      </w:pPr>
      <w:r w:rsidRPr="008B3E87">
        <w:rPr>
          <w:rFonts w:ascii="Arial" w:hAnsi="Arial" w:cs="Arial"/>
        </w:rPr>
        <w:t>Strategy &amp; Management</w:t>
      </w:r>
    </w:p>
    <w:p w14:paraId="25A4F6FF" w14:textId="77777777" w:rsidR="007B245E" w:rsidRPr="009A5C55" w:rsidRDefault="007B245E" w:rsidP="007B245E">
      <w:pPr>
        <w:pStyle w:val="Body"/>
        <w:ind w:left="360"/>
        <w:rPr>
          <w:rFonts w:ascii="Arial" w:hAnsi="Arial" w:cs="Arial"/>
          <w:sz w:val="16"/>
          <w:szCs w:val="16"/>
        </w:rPr>
      </w:pPr>
    </w:p>
    <w:p w14:paraId="03E411BD" w14:textId="5B1B7D17" w:rsidR="00135FD2" w:rsidRPr="0053310E" w:rsidRDefault="00135FD2" w:rsidP="00161E9A">
      <w:pPr>
        <w:pStyle w:val="Body"/>
        <w:numPr>
          <w:ilvl w:val="0"/>
          <w:numId w:val="3"/>
        </w:numPr>
        <w:jc w:val="both"/>
        <w:rPr>
          <w:rFonts w:ascii="Arial" w:hAnsi="Arial" w:cs="Arial"/>
        </w:rPr>
      </w:pPr>
      <w:r w:rsidRPr="0053310E">
        <w:rPr>
          <w:rFonts w:ascii="Arial" w:hAnsi="Arial" w:cs="Arial"/>
        </w:rPr>
        <w:t>Promote the long</w:t>
      </w:r>
      <w:r w:rsidR="007B0D9F" w:rsidRPr="0053310E">
        <w:rPr>
          <w:rFonts w:ascii="Arial" w:hAnsi="Arial" w:cs="Arial"/>
        </w:rPr>
        <w:t xml:space="preserve"> </w:t>
      </w:r>
      <w:r w:rsidRPr="0053310E">
        <w:rPr>
          <w:rFonts w:ascii="Arial" w:hAnsi="Arial" w:cs="Arial"/>
        </w:rPr>
        <w:t xml:space="preserve">term </w:t>
      </w:r>
      <w:r w:rsidR="00C22BD6" w:rsidRPr="0053310E">
        <w:rPr>
          <w:rFonts w:ascii="Arial" w:hAnsi="Arial" w:cs="Arial"/>
        </w:rPr>
        <w:t xml:space="preserve">sustainable </w:t>
      </w:r>
      <w:r w:rsidRPr="0053310E">
        <w:rPr>
          <w:rFonts w:ascii="Arial" w:hAnsi="Arial" w:cs="Arial"/>
        </w:rPr>
        <w:t>success of the Society, generating value for members</w:t>
      </w:r>
      <w:r w:rsidR="00C22BD6" w:rsidRPr="0053310E">
        <w:rPr>
          <w:rFonts w:ascii="Arial" w:hAnsi="Arial" w:cs="Arial"/>
        </w:rPr>
        <w:t xml:space="preserve"> and contributing to wider society</w:t>
      </w:r>
      <w:r w:rsidRPr="0053310E">
        <w:rPr>
          <w:rFonts w:ascii="Arial" w:hAnsi="Arial" w:cs="Arial"/>
        </w:rPr>
        <w:t>.</w:t>
      </w:r>
    </w:p>
    <w:p w14:paraId="2BCDEE8A" w14:textId="77777777" w:rsidR="00C22BD6" w:rsidRPr="0053310E" w:rsidRDefault="00C22BD6" w:rsidP="00C22BD6">
      <w:pPr>
        <w:pStyle w:val="Body"/>
        <w:ind w:left="720"/>
        <w:jc w:val="both"/>
        <w:rPr>
          <w:rFonts w:ascii="Arial" w:hAnsi="Arial" w:cs="Arial"/>
        </w:rPr>
      </w:pPr>
    </w:p>
    <w:p w14:paraId="44A46A34" w14:textId="12FD2991" w:rsidR="00CE5C22" w:rsidRPr="0053310E" w:rsidRDefault="00D1704D" w:rsidP="00161E9A">
      <w:pPr>
        <w:pStyle w:val="Body"/>
        <w:numPr>
          <w:ilvl w:val="0"/>
          <w:numId w:val="3"/>
        </w:numPr>
        <w:jc w:val="both"/>
        <w:rPr>
          <w:rFonts w:ascii="Arial" w:hAnsi="Arial" w:cs="Arial"/>
        </w:rPr>
      </w:pPr>
      <w:r w:rsidRPr="0053310E">
        <w:rPr>
          <w:rFonts w:ascii="Arial" w:hAnsi="Arial" w:cs="Arial"/>
        </w:rPr>
        <w:t xml:space="preserve">Responsibility for the overall leadership of the Society and setting the Society’s </w:t>
      </w:r>
      <w:r w:rsidR="00C22BD6" w:rsidRPr="0053310E">
        <w:rPr>
          <w:rFonts w:ascii="Arial" w:hAnsi="Arial" w:cs="Arial"/>
        </w:rPr>
        <w:t xml:space="preserve">purpose, </w:t>
      </w:r>
      <w:r w:rsidRPr="0053310E">
        <w:rPr>
          <w:rFonts w:ascii="Arial" w:hAnsi="Arial" w:cs="Arial"/>
        </w:rPr>
        <w:t xml:space="preserve">values and </w:t>
      </w:r>
      <w:r w:rsidR="007B0D9F" w:rsidRPr="0053310E">
        <w:rPr>
          <w:rFonts w:ascii="Arial" w:hAnsi="Arial" w:cs="Arial"/>
        </w:rPr>
        <w:t>strategy</w:t>
      </w:r>
      <w:r w:rsidR="00C22BD6" w:rsidRPr="0053310E">
        <w:rPr>
          <w:rFonts w:ascii="Arial" w:hAnsi="Arial" w:cs="Arial"/>
        </w:rPr>
        <w:t>, and satisfy itself that these and its culture are aligned</w:t>
      </w:r>
      <w:r w:rsidRPr="0053310E">
        <w:rPr>
          <w:rFonts w:ascii="Arial" w:hAnsi="Arial" w:cs="Arial"/>
        </w:rPr>
        <w:t>;</w:t>
      </w:r>
    </w:p>
    <w:p w14:paraId="728B375C" w14:textId="77777777" w:rsidR="00161E9A" w:rsidRPr="0053310E" w:rsidRDefault="00161E9A" w:rsidP="00161E9A">
      <w:pPr>
        <w:pStyle w:val="Body"/>
        <w:ind w:left="720"/>
        <w:jc w:val="both"/>
        <w:rPr>
          <w:rFonts w:ascii="Arial" w:hAnsi="Arial" w:cs="Arial"/>
          <w:sz w:val="16"/>
          <w:szCs w:val="16"/>
        </w:rPr>
      </w:pPr>
    </w:p>
    <w:p w14:paraId="61D7C8E5" w14:textId="15531720" w:rsidR="00CE5C22" w:rsidRPr="0053310E" w:rsidRDefault="00161E9A" w:rsidP="00666824">
      <w:pPr>
        <w:pStyle w:val="Body"/>
        <w:numPr>
          <w:ilvl w:val="0"/>
          <w:numId w:val="3"/>
        </w:numPr>
        <w:jc w:val="both"/>
        <w:rPr>
          <w:rFonts w:ascii="Arial" w:hAnsi="Arial" w:cs="Arial"/>
        </w:rPr>
      </w:pPr>
      <w:r w:rsidRPr="0053310E">
        <w:rPr>
          <w:rFonts w:ascii="Arial" w:hAnsi="Arial" w:cs="Arial"/>
        </w:rPr>
        <w:t>R</w:t>
      </w:r>
      <w:r w:rsidR="00D1704D" w:rsidRPr="0053310E">
        <w:rPr>
          <w:rFonts w:ascii="Arial" w:hAnsi="Arial" w:cs="Arial"/>
        </w:rPr>
        <w:t xml:space="preserve">esponsibility for the adoption and development of the Society’s culture as a mutual </w:t>
      </w:r>
      <w:proofErr w:type="spellStart"/>
      <w:r w:rsidR="00D1704D" w:rsidRPr="0053310E">
        <w:rPr>
          <w:rFonts w:ascii="Arial" w:hAnsi="Arial" w:cs="Arial"/>
        </w:rPr>
        <w:t>organisation</w:t>
      </w:r>
      <w:proofErr w:type="spellEnd"/>
      <w:r w:rsidR="00D1704D" w:rsidRPr="0053310E">
        <w:rPr>
          <w:rFonts w:ascii="Arial" w:hAnsi="Arial" w:cs="Arial"/>
        </w:rPr>
        <w:t>;</w:t>
      </w:r>
    </w:p>
    <w:p w14:paraId="2FAAF4C7" w14:textId="77777777" w:rsidR="00D122FE" w:rsidRPr="0053310E" w:rsidRDefault="00D122FE" w:rsidP="00D122FE">
      <w:pPr>
        <w:pStyle w:val="Body"/>
        <w:ind w:left="720"/>
        <w:jc w:val="both"/>
        <w:rPr>
          <w:rFonts w:ascii="Arial" w:hAnsi="Arial" w:cs="Arial"/>
        </w:rPr>
      </w:pPr>
    </w:p>
    <w:p w14:paraId="59F0E2B8" w14:textId="04D3F82E" w:rsidR="00D122FE" w:rsidRPr="0053310E" w:rsidRDefault="00D122FE" w:rsidP="00666824">
      <w:pPr>
        <w:pStyle w:val="Body"/>
        <w:numPr>
          <w:ilvl w:val="0"/>
          <w:numId w:val="3"/>
        </w:numPr>
        <w:jc w:val="both"/>
        <w:rPr>
          <w:rFonts w:ascii="Arial" w:hAnsi="Arial" w:cs="Arial"/>
        </w:rPr>
      </w:pPr>
      <w:r w:rsidRPr="0053310E">
        <w:rPr>
          <w:rFonts w:ascii="Arial" w:hAnsi="Arial" w:cs="Arial"/>
        </w:rPr>
        <w:t xml:space="preserve">Assessing and monitoring culture and ensuring management take corrective action where it is not satisfied that policy, practices or behavior through the business are aligned with the Society’s purpose, values and strategy. </w:t>
      </w:r>
    </w:p>
    <w:p w14:paraId="52E4A193" w14:textId="77777777" w:rsidR="00D122FE" w:rsidRPr="0053310E" w:rsidRDefault="00D122FE" w:rsidP="00D122FE">
      <w:pPr>
        <w:pStyle w:val="Body"/>
        <w:ind w:left="720"/>
        <w:jc w:val="both"/>
        <w:rPr>
          <w:rFonts w:ascii="Arial" w:hAnsi="Arial" w:cs="Arial"/>
        </w:rPr>
      </w:pPr>
    </w:p>
    <w:p w14:paraId="5575A244" w14:textId="77777777" w:rsidR="00CE5C22" w:rsidRPr="0053310E" w:rsidRDefault="00161E9A" w:rsidP="00161E9A">
      <w:pPr>
        <w:pStyle w:val="Body"/>
        <w:numPr>
          <w:ilvl w:val="0"/>
          <w:numId w:val="3"/>
        </w:numPr>
        <w:jc w:val="both"/>
        <w:rPr>
          <w:rFonts w:ascii="Arial" w:hAnsi="Arial" w:cs="Arial"/>
        </w:rPr>
      </w:pPr>
      <w:r w:rsidRPr="0053310E">
        <w:rPr>
          <w:rFonts w:ascii="Arial" w:hAnsi="Arial" w:cs="Arial"/>
        </w:rPr>
        <w:t>A</w:t>
      </w:r>
      <w:r w:rsidR="00D1704D" w:rsidRPr="0053310E">
        <w:rPr>
          <w:rFonts w:ascii="Arial" w:hAnsi="Arial" w:cs="Arial"/>
        </w:rPr>
        <w:t>pproval of the Group’s long term objectives and business strategy, including the five year strategic plan, operating and capital expenditure budgets and any material changes to them outlined in financial forecasts</w:t>
      </w:r>
      <w:r w:rsidRPr="0053310E">
        <w:rPr>
          <w:rFonts w:ascii="Arial" w:hAnsi="Arial" w:cs="Arial"/>
        </w:rPr>
        <w:t>;</w:t>
      </w:r>
    </w:p>
    <w:p w14:paraId="1CDEEE49" w14:textId="77777777" w:rsidR="00161E9A" w:rsidRPr="0053310E" w:rsidRDefault="00161E9A" w:rsidP="00161E9A">
      <w:pPr>
        <w:pStyle w:val="ListParagraph"/>
        <w:rPr>
          <w:rFonts w:ascii="Arial" w:hAnsi="Arial" w:cs="Arial"/>
          <w:sz w:val="16"/>
          <w:szCs w:val="16"/>
        </w:rPr>
      </w:pPr>
    </w:p>
    <w:p w14:paraId="2F68295B" w14:textId="77777777" w:rsidR="00CE5C22" w:rsidRPr="0053310E" w:rsidRDefault="00161E9A" w:rsidP="00161E9A">
      <w:pPr>
        <w:pStyle w:val="Body"/>
        <w:numPr>
          <w:ilvl w:val="0"/>
          <w:numId w:val="3"/>
        </w:numPr>
        <w:jc w:val="both"/>
        <w:rPr>
          <w:rFonts w:ascii="Arial" w:hAnsi="Arial" w:cs="Arial"/>
        </w:rPr>
      </w:pPr>
      <w:r w:rsidRPr="0053310E">
        <w:rPr>
          <w:rFonts w:ascii="Arial" w:hAnsi="Arial" w:cs="Arial"/>
        </w:rPr>
        <w:t>O</w:t>
      </w:r>
      <w:r w:rsidR="00D1704D" w:rsidRPr="0053310E">
        <w:rPr>
          <w:rFonts w:ascii="Arial" w:hAnsi="Arial" w:cs="Arial"/>
        </w:rPr>
        <w:t>versight of the Group’s operations ensuring:</w:t>
      </w:r>
    </w:p>
    <w:p w14:paraId="4A0762CC" w14:textId="77777777" w:rsidR="00CE5C22" w:rsidRPr="0053310E" w:rsidRDefault="00CE5C22">
      <w:pPr>
        <w:pStyle w:val="Body"/>
        <w:rPr>
          <w:rFonts w:ascii="Arial" w:hAnsi="Arial" w:cs="Arial"/>
          <w:sz w:val="16"/>
          <w:szCs w:val="16"/>
        </w:rPr>
      </w:pPr>
    </w:p>
    <w:p w14:paraId="186604AD" w14:textId="77777777" w:rsidR="00CE5C22" w:rsidRPr="0053310E" w:rsidRDefault="00D1704D" w:rsidP="00161E9A">
      <w:pPr>
        <w:pStyle w:val="Body"/>
        <w:numPr>
          <w:ilvl w:val="0"/>
          <w:numId w:val="2"/>
        </w:numPr>
        <w:rPr>
          <w:rFonts w:ascii="Arial" w:hAnsi="Arial" w:cs="Arial"/>
        </w:rPr>
      </w:pPr>
      <w:r w:rsidRPr="0053310E">
        <w:rPr>
          <w:rFonts w:ascii="Arial" w:hAnsi="Arial" w:cs="Arial"/>
        </w:rPr>
        <w:t>Competent and Prudent Management</w:t>
      </w:r>
    </w:p>
    <w:p w14:paraId="1CCE2F26" w14:textId="77777777" w:rsidR="00CE5C22" w:rsidRPr="0053310E" w:rsidRDefault="00161E9A" w:rsidP="00161E9A">
      <w:pPr>
        <w:pStyle w:val="Body"/>
        <w:numPr>
          <w:ilvl w:val="0"/>
          <w:numId w:val="2"/>
        </w:numPr>
        <w:rPr>
          <w:rFonts w:ascii="Arial" w:hAnsi="Arial" w:cs="Arial"/>
        </w:rPr>
      </w:pPr>
      <w:r w:rsidRPr="0053310E">
        <w:rPr>
          <w:rFonts w:ascii="Arial" w:hAnsi="Arial" w:cs="Arial"/>
        </w:rPr>
        <w:t>S</w:t>
      </w:r>
      <w:r w:rsidR="00D1704D" w:rsidRPr="0053310E">
        <w:rPr>
          <w:rFonts w:ascii="Arial" w:hAnsi="Arial" w:cs="Arial"/>
        </w:rPr>
        <w:t>ound Planning</w:t>
      </w:r>
    </w:p>
    <w:p w14:paraId="2CF39787" w14:textId="09AC8850" w:rsidR="00CE5C22" w:rsidRPr="0053310E" w:rsidRDefault="00161E9A" w:rsidP="00161E9A">
      <w:pPr>
        <w:pStyle w:val="Body"/>
        <w:numPr>
          <w:ilvl w:val="0"/>
          <w:numId w:val="2"/>
        </w:numPr>
        <w:rPr>
          <w:rFonts w:ascii="Arial" w:hAnsi="Arial" w:cs="Arial"/>
        </w:rPr>
      </w:pPr>
      <w:r w:rsidRPr="0053310E">
        <w:rPr>
          <w:rFonts w:ascii="Arial" w:hAnsi="Arial" w:cs="Arial"/>
        </w:rPr>
        <w:t>M</w:t>
      </w:r>
      <w:r w:rsidR="00D1704D" w:rsidRPr="0053310E">
        <w:rPr>
          <w:rFonts w:ascii="Arial" w:hAnsi="Arial" w:cs="Arial"/>
        </w:rPr>
        <w:t>aintenance of sound management and internal control systems</w:t>
      </w:r>
      <w:r w:rsidR="00C22BD6" w:rsidRPr="0053310E">
        <w:rPr>
          <w:rFonts w:ascii="Arial" w:hAnsi="Arial" w:cs="Arial"/>
        </w:rPr>
        <w:t xml:space="preserve"> </w:t>
      </w:r>
    </w:p>
    <w:p w14:paraId="1808DDE7" w14:textId="74658BEB" w:rsidR="00CE5C22" w:rsidRPr="0053310E" w:rsidRDefault="00161E9A" w:rsidP="00161E9A">
      <w:pPr>
        <w:pStyle w:val="Body"/>
        <w:numPr>
          <w:ilvl w:val="0"/>
          <w:numId w:val="2"/>
        </w:numPr>
        <w:rPr>
          <w:rFonts w:ascii="Arial" w:hAnsi="Arial" w:cs="Arial"/>
        </w:rPr>
      </w:pPr>
      <w:r w:rsidRPr="0053310E">
        <w:rPr>
          <w:rFonts w:ascii="Arial" w:hAnsi="Arial" w:cs="Arial"/>
        </w:rPr>
        <w:t>A</w:t>
      </w:r>
      <w:r w:rsidR="00D1704D" w:rsidRPr="0053310E">
        <w:rPr>
          <w:rFonts w:ascii="Arial" w:hAnsi="Arial" w:cs="Arial"/>
        </w:rPr>
        <w:t xml:space="preserve">dequate accounting and other records </w:t>
      </w:r>
    </w:p>
    <w:p w14:paraId="2735A1D0" w14:textId="77777777" w:rsidR="00CE5C22" w:rsidRPr="0053310E" w:rsidRDefault="00161E9A" w:rsidP="00161E9A">
      <w:pPr>
        <w:pStyle w:val="Body"/>
        <w:numPr>
          <w:ilvl w:val="0"/>
          <w:numId w:val="2"/>
        </w:numPr>
        <w:rPr>
          <w:rFonts w:ascii="Arial" w:hAnsi="Arial" w:cs="Arial"/>
        </w:rPr>
      </w:pPr>
      <w:r w:rsidRPr="0053310E">
        <w:rPr>
          <w:rFonts w:ascii="Arial" w:hAnsi="Arial" w:cs="Arial"/>
        </w:rPr>
        <w:t>C</w:t>
      </w:r>
      <w:r w:rsidR="00D1704D" w:rsidRPr="0053310E">
        <w:rPr>
          <w:rFonts w:ascii="Arial" w:hAnsi="Arial" w:cs="Arial"/>
        </w:rPr>
        <w:t>ompliance with statutory and regulatory obligations</w:t>
      </w:r>
    </w:p>
    <w:p w14:paraId="49DDC892" w14:textId="3E203387" w:rsidR="00C22BD6" w:rsidRPr="0053310E" w:rsidRDefault="00161E9A" w:rsidP="00C22BD6">
      <w:pPr>
        <w:pStyle w:val="Body"/>
        <w:numPr>
          <w:ilvl w:val="0"/>
          <w:numId w:val="2"/>
        </w:numPr>
        <w:rPr>
          <w:rFonts w:ascii="Arial" w:hAnsi="Arial" w:cs="Arial"/>
        </w:rPr>
      </w:pPr>
      <w:r w:rsidRPr="0053310E">
        <w:rPr>
          <w:rFonts w:ascii="Arial" w:hAnsi="Arial" w:cs="Arial"/>
        </w:rPr>
        <w:t>A</w:t>
      </w:r>
      <w:r w:rsidR="00D1704D" w:rsidRPr="0053310E">
        <w:rPr>
          <w:rFonts w:ascii="Arial" w:hAnsi="Arial" w:cs="Arial"/>
        </w:rPr>
        <w:t>dequate financial resources</w:t>
      </w:r>
      <w:r w:rsidR="00C22BD6" w:rsidRPr="0053310E">
        <w:rPr>
          <w:rFonts w:ascii="Arial" w:hAnsi="Arial" w:cs="Arial"/>
        </w:rPr>
        <w:t xml:space="preserve"> including that the necessary resources are in place for the Society to meet its objectives and measure performance against them</w:t>
      </w:r>
    </w:p>
    <w:p w14:paraId="017D4A5B" w14:textId="48545BCC" w:rsidR="00CE5C22" w:rsidRPr="0053310E" w:rsidRDefault="00161E9A" w:rsidP="00161E9A">
      <w:pPr>
        <w:pStyle w:val="Body"/>
        <w:numPr>
          <w:ilvl w:val="0"/>
          <w:numId w:val="2"/>
        </w:numPr>
        <w:rPr>
          <w:rFonts w:ascii="Arial" w:hAnsi="Arial" w:cs="Arial"/>
        </w:rPr>
      </w:pPr>
      <w:r w:rsidRPr="0053310E">
        <w:rPr>
          <w:rFonts w:ascii="Arial" w:hAnsi="Arial" w:cs="Arial"/>
        </w:rPr>
        <w:t>F</w:t>
      </w:r>
      <w:r w:rsidR="00D1704D" w:rsidRPr="0053310E">
        <w:rPr>
          <w:rFonts w:ascii="Arial" w:hAnsi="Arial" w:cs="Arial"/>
        </w:rPr>
        <w:t xml:space="preserve">air outcomes for our members and customers </w:t>
      </w:r>
    </w:p>
    <w:p w14:paraId="675281C4" w14:textId="03479E81" w:rsidR="00C22BD6" w:rsidRPr="0053310E" w:rsidRDefault="00C22BD6" w:rsidP="00161E9A">
      <w:pPr>
        <w:pStyle w:val="Body"/>
        <w:numPr>
          <w:ilvl w:val="0"/>
          <w:numId w:val="2"/>
        </w:numPr>
        <w:rPr>
          <w:rFonts w:ascii="Arial" w:hAnsi="Arial" w:cs="Arial"/>
        </w:rPr>
      </w:pPr>
      <w:r w:rsidRPr="0053310E">
        <w:rPr>
          <w:rFonts w:ascii="Arial" w:hAnsi="Arial" w:cs="Arial"/>
        </w:rPr>
        <w:t>Effective engagement with, and the encouragement of participation from, members and stakeholders</w:t>
      </w:r>
    </w:p>
    <w:p w14:paraId="6D9870CF" w14:textId="0999A576" w:rsidR="00D122FE" w:rsidRPr="0053310E" w:rsidRDefault="00D122FE" w:rsidP="00161E9A">
      <w:pPr>
        <w:pStyle w:val="Body"/>
        <w:numPr>
          <w:ilvl w:val="0"/>
          <w:numId w:val="2"/>
        </w:numPr>
        <w:rPr>
          <w:rFonts w:ascii="Arial" w:hAnsi="Arial" w:cs="Arial"/>
        </w:rPr>
      </w:pPr>
      <w:r w:rsidRPr="0053310E">
        <w:rPr>
          <w:rFonts w:ascii="Arial" w:hAnsi="Arial" w:cs="Arial"/>
        </w:rPr>
        <w:t>Workforce policies and practices are consistent with the Society’s values and support its long term sustainable success</w:t>
      </w:r>
    </w:p>
    <w:p w14:paraId="666D63D3" w14:textId="5BF23EE8" w:rsidR="00D122FE" w:rsidRPr="0053310E" w:rsidRDefault="00D122FE" w:rsidP="00161E9A">
      <w:pPr>
        <w:pStyle w:val="Body"/>
        <w:numPr>
          <w:ilvl w:val="0"/>
          <w:numId w:val="2"/>
        </w:numPr>
        <w:rPr>
          <w:rFonts w:ascii="Arial" w:hAnsi="Arial" w:cs="Arial"/>
        </w:rPr>
      </w:pPr>
      <w:r w:rsidRPr="0053310E">
        <w:rPr>
          <w:rFonts w:ascii="Arial" w:hAnsi="Arial" w:cs="Arial"/>
        </w:rPr>
        <w:t xml:space="preserve">Matters of concern from the workforce </w:t>
      </w:r>
    </w:p>
    <w:p w14:paraId="5BAFCEF7" w14:textId="77777777" w:rsidR="007B0D9F" w:rsidRPr="0053310E" w:rsidRDefault="007B0D9F" w:rsidP="007B0D9F">
      <w:pPr>
        <w:pStyle w:val="Body"/>
        <w:numPr>
          <w:ilvl w:val="0"/>
          <w:numId w:val="2"/>
        </w:numPr>
        <w:rPr>
          <w:rFonts w:ascii="Arial" w:hAnsi="Arial" w:cs="Arial"/>
        </w:rPr>
      </w:pPr>
      <w:r w:rsidRPr="0053310E">
        <w:rPr>
          <w:rFonts w:ascii="Arial" w:hAnsi="Arial" w:cs="Arial"/>
        </w:rPr>
        <w:t xml:space="preserve">Conflicts of interest </w:t>
      </w:r>
    </w:p>
    <w:p w14:paraId="3E9A2BA6" w14:textId="77777777" w:rsidR="00CE5C22" w:rsidRPr="0053310E" w:rsidRDefault="00CE5C22">
      <w:pPr>
        <w:pStyle w:val="Body"/>
        <w:rPr>
          <w:rFonts w:ascii="Arial" w:hAnsi="Arial" w:cs="Arial"/>
        </w:rPr>
      </w:pPr>
    </w:p>
    <w:p w14:paraId="3B8947B0" w14:textId="63959DB3" w:rsidR="00CE5C22" w:rsidRPr="0053310E" w:rsidRDefault="007B245E" w:rsidP="007B245E">
      <w:pPr>
        <w:pStyle w:val="Body"/>
        <w:numPr>
          <w:ilvl w:val="0"/>
          <w:numId w:val="3"/>
        </w:numPr>
        <w:jc w:val="both"/>
        <w:rPr>
          <w:rFonts w:ascii="Arial" w:hAnsi="Arial" w:cs="Arial"/>
        </w:rPr>
      </w:pPr>
      <w:r w:rsidRPr="0053310E">
        <w:rPr>
          <w:rFonts w:ascii="Arial" w:hAnsi="Arial" w:cs="Arial"/>
        </w:rPr>
        <w:t>Any e</w:t>
      </w:r>
      <w:r w:rsidR="00D1704D" w:rsidRPr="0053310E">
        <w:rPr>
          <w:rFonts w:ascii="Arial" w:hAnsi="Arial" w:cs="Arial"/>
        </w:rPr>
        <w:t xml:space="preserve">xtension to the Society’s activities into new business </w:t>
      </w:r>
      <w:r w:rsidR="0027787B" w:rsidRPr="0053310E">
        <w:rPr>
          <w:rFonts w:ascii="Arial" w:hAnsi="Arial" w:cs="Arial"/>
        </w:rPr>
        <w:t xml:space="preserve">areas </w:t>
      </w:r>
      <w:r w:rsidR="00D1704D" w:rsidRPr="0053310E">
        <w:rPr>
          <w:rFonts w:ascii="Arial" w:hAnsi="Arial" w:cs="Arial"/>
        </w:rPr>
        <w:t xml:space="preserve">or </w:t>
      </w:r>
      <w:r w:rsidR="0027787B" w:rsidRPr="0053310E">
        <w:rPr>
          <w:rFonts w:ascii="Arial" w:hAnsi="Arial" w:cs="Arial"/>
        </w:rPr>
        <w:t>jurisdictions</w:t>
      </w:r>
    </w:p>
    <w:p w14:paraId="1C8FFBB6" w14:textId="77777777" w:rsidR="00CE5C22" w:rsidRPr="0053310E" w:rsidRDefault="00CE5C22">
      <w:pPr>
        <w:pStyle w:val="Body"/>
        <w:rPr>
          <w:rFonts w:ascii="Arial" w:hAnsi="Arial" w:cs="Arial"/>
        </w:rPr>
      </w:pPr>
    </w:p>
    <w:p w14:paraId="5AB8479D" w14:textId="77777777" w:rsidR="007B245E" w:rsidRPr="0053310E" w:rsidRDefault="007B245E" w:rsidP="007B245E">
      <w:pPr>
        <w:pStyle w:val="Body"/>
        <w:numPr>
          <w:ilvl w:val="0"/>
          <w:numId w:val="1"/>
        </w:numPr>
        <w:rPr>
          <w:rFonts w:ascii="Arial" w:hAnsi="Arial" w:cs="Arial"/>
        </w:rPr>
      </w:pPr>
      <w:r w:rsidRPr="0053310E">
        <w:rPr>
          <w:rFonts w:ascii="Arial" w:hAnsi="Arial" w:cs="Arial"/>
        </w:rPr>
        <w:t>Structure &amp; Capital</w:t>
      </w:r>
    </w:p>
    <w:p w14:paraId="6AA02B59" w14:textId="77777777" w:rsidR="007B245E" w:rsidRPr="0053310E" w:rsidRDefault="007B245E">
      <w:pPr>
        <w:pStyle w:val="Body"/>
        <w:rPr>
          <w:rFonts w:ascii="Arial" w:hAnsi="Arial" w:cs="Arial"/>
        </w:rPr>
      </w:pPr>
    </w:p>
    <w:p w14:paraId="1DABE2F4" w14:textId="77777777" w:rsidR="00CE5C22" w:rsidRPr="0053310E" w:rsidRDefault="00D1704D" w:rsidP="00BB38EC">
      <w:pPr>
        <w:pStyle w:val="Body"/>
        <w:numPr>
          <w:ilvl w:val="0"/>
          <w:numId w:val="4"/>
        </w:numPr>
        <w:jc w:val="both"/>
        <w:rPr>
          <w:rFonts w:ascii="Arial" w:hAnsi="Arial" w:cs="Arial"/>
        </w:rPr>
      </w:pPr>
      <w:r w:rsidRPr="0053310E">
        <w:rPr>
          <w:rFonts w:ascii="Arial" w:hAnsi="Arial" w:cs="Arial"/>
        </w:rPr>
        <w:t>Changes to the Society’s corporate structure including any merger or creation, acquisition or disposal of any subsidiary or associated company, or of any significant business operation, or any other initiative which has significant strategic implications for the Society;</w:t>
      </w:r>
    </w:p>
    <w:p w14:paraId="662E7A83" w14:textId="77777777" w:rsidR="006E5860" w:rsidRPr="0053310E" w:rsidRDefault="006E5860" w:rsidP="006E5860">
      <w:pPr>
        <w:pStyle w:val="Body"/>
        <w:ind w:left="360"/>
        <w:jc w:val="both"/>
        <w:rPr>
          <w:rFonts w:ascii="Arial" w:hAnsi="Arial" w:cs="Arial"/>
        </w:rPr>
      </w:pPr>
    </w:p>
    <w:p w14:paraId="201EE58F" w14:textId="77777777" w:rsidR="00CE5C22" w:rsidRPr="0053310E" w:rsidRDefault="00BB38EC" w:rsidP="00BB38EC">
      <w:pPr>
        <w:pStyle w:val="Body"/>
        <w:numPr>
          <w:ilvl w:val="0"/>
          <w:numId w:val="4"/>
        </w:numPr>
        <w:jc w:val="both"/>
        <w:rPr>
          <w:rFonts w:ascii="Arial" w:hAnsi="Arial" w:cs="Arial"/>
        </w:rPr>
      </w:pPr>
      <w:r w:rsidRPr="0053310E">
        <w:rPr>
          <w:rFonts w:ascii="Arial" w:hAnsi="Arial" w:cs="Arial"/>
        </w:rPr>
        <w:t>A</w:t>
      </w:r>
      <w:r w:rsidR="00D1704D" w:rsidRPr="0053310E">
        <w:rPr>
          <w:rFonts w:ascii="Arial" w:hAnsi="Arial" w:cs="Arial"/>
        </w:rPr>
        <w:t xml:space="preserve">ny acquisition, disposal or </w:t>
      </w:r>
      <w:proofErr w:type="spellStart"/>
      <w:r w:rsidR="00D1704D" w:rsidRPr="0053310E">
        <w:rPr>
          <w:rFonts w:ascii="Arial" w:hAnsi="Arial" w:cs="Arial"/>
        </w:rPr>
        <w:t>securitisation</w:t>
      </w:r>
      <w:proofErr w:type="spellEnd"/>
      <w:r w:rsidR="00D1704D" w:rsidRPr="0053310E">
        <w:rPr>
          <w:rFonts w:ascii="Arial" w:hAnsi="Arial" w:cs="Arial"/>
        </w:rPr>
        <w:t xml:space="preserve"> of assets or liabilities;</w:t>
      </w:r>
    </w:p>
    <w:p w14:paraId="5C595CFD" w14:textId="77777777" w:rsidR="006E5860" w:rsidRPr="0053310E" w:rsidRDefault="006E5860" w:rsidP="006E5860">
      <w:pPr>
        <w:pStyle w:val="Body"/>
        <w:jc w:val="both"/>
        <w:rPr>
          <w:rFonts w:ascii="Arial" w:hAnsi="Arial" w:cs="Arial"/>
        </w:rPr>
      </w:pPr>
    </w:p>
    <w:p w14:paraId="6B513F08" w14:textId="77777777" w:rsidR="00CE5C22" w:rsidRPr="0053310E" w:rsidRDefault="00BB38EC" w:rsidP="00BB38EC">
      <w:pPr>
        <w:pStyle w:val="Body"/>
        <w:numPr>
          <w:ilvl w:val="0"/>
          <w:numId w:val="4"/>
        </w:numPr>
        <w:jc w:val="both"/>
        <w:rPr>
          <w:rFonts w:ascii="Arial" w:hAnsi="Arial" w:cs="Arial"/>
        </w:rPr>
      </w:pPr>
      <w:r w:rsidRPr="0053310E">
        <w:rPr>
          <w:rFonts w:ascii="Arial" w:hAnsi="Arial" w:cs="Arial"/>
        </w:rPr>
        <w:t>T</w:t>
      </w:r>
      <w:r w:rsidR="00D1704D" w:rsidRPr="0053310E">
        <w:rPr>
          <w:rFonts w:ascii="Arial" w:hAnsi="Arial" w:cs="Arial"/>
        </w:rPr>
        <w:t>he acquisition or disposal of all land &amp; buildings and freehold properties;</w:t>
      </w:r>
    </w:p>
    <w:p w14:paraId="26EC100B" w14:textId="77777777" w:rsidR="006E5860" w:rsidRPr="0053310E" w:rsidRDefault="006E5860" w:rsidP="006E5860">
      <w:pPr>
        <w:pStyle w:val="Body"/>
        <w:jc w:val="both"/>
        <w:rPr>
          <w:rFonts w:ascii="Arial" w:hAnsi="Arial" w:cs="Arial"/>
        </w:rPr>
      </w:pPr>
    </w:p>
    <w:p w14:paraId="49302C78" w14:textId="77777777" w:rsidR="00CE5C22" w:rsidRPr="0053310E" w:rsidRDefault="00BB38EC" w:rsidP="00BB38EC">
      <w:pPr>
        <w:pStyle w:val="Body"/>
        <w:numPr>
          <w:ilvl w:val="0"/>
          <w:numId w:val="4"/>
        </w:numPr>
        <w:jc w:val="both"/>
        <w:rPr>
          <w:rFonts w:ascii="Arial" w:hAnsi="Arial" w:cs="Arial"/>
        </w:rPr>
      </w:pPr>
      <w:r w:rsidRPr="0053310E">
        <w:rPr>
          <w:rFonts w:ascii="Arial" w:hAnsi="Arial" w:cs="Arial"/>
        </w:rPr>
        <w:t>C</w:t>
      </w:r>
      <w:r w:rsidR="00D1704D" w:rsidRPr="0053310E">
        <w:rPr>
          <w:rFonts w:ascii="Arial" w:hAnsi="Arial" w:cs="Arial"/>
        </w:rPr>
        <w:t>hanges to the Society’s management and control structure;</w:t>
      </w:r>
    </w:p>
    <w:p w14:paraId="5826D374" w14:textId="77777777" w:rsidR="006E5860" w:rsidRPr="0053310E" w:rsidRDefault="006E5860" w:rsidP="006E5860">
      <w:pPr>
        <w:pStyle w:val="Body"/>
        <w:jc w:val="both"/>
        <w:rPr>
          <w:rFonts w:ascii="Arial" w:hAnsi="Arial" w:cs="Arial"/>
        </w:rPr>
      </w:pPr>
    </w:p>
    <w:p w14:paraId="648AFD81" w14:textId="77777777" w:rsidR="00CE5C22" w:rsidRPr="0053310E" w:rsidRDefault="00BB38EC" w:rsidP="00BB38EC">
      <w:pPr>
        <w:pStyle w:val="Body"/>
        <w:numPr>
          <w:ilvl w:val="0"/>
          <w:numId w:val="4"/>
        </w:numPr>
        <w:jc w:val="both"/>
        <w:rPr>
          <w:rFonts w:ascii="Arial" w:hAnsi="Arial" w:cs="Arial"/>
        </w:rPr>
      </w:pPr>
      <w:r w:rsidRPr="0053310E">
        <w:rPr>
          <w:rFonts w:ascii="Arial" w:hAnsi="Arial" w:cs="Arial"/>
        </w:rPr>
        <w:lastRenderedPageBreak/>
        <w:t>A</w:t>
      </w:r>
      <w:r w:rsidR="00D1704D" w:rsidRPr="0053310E">
        <w:rPr>
          <w:rFonts w:ascii="Arial" w:hAnsi="Arial" w:cs="Arial"/>
        </w:rPr>
        <w:t>ny changes to the Society’s mutual status</w:t>
      </w:r>
      <w:r w:rsidR="003E3C63" w:rsidRPr="0053310E">
        <w:rPr>
          <w:rFonts w:ascii="Arial" w:hAnsi="Arial" w:cs="Arial"/>
        </w:rPr>
        <w:t>.</w:t>
      </w:r>
    </w:p>
    <w:p w14:paraId="0E17803F" w14:textId="77777777" w:rsidR="009E4FC1" w:rsidRPr="0053310E" w:rsidRDefault="009E4FC1">
      <w:pPr>
        <w:pStyle w:val="Body"/>
        <w:rPr>
          <w:rFonts w:ascii="Arial" w:hAnsi="Arial" w:cs="Arial"/>
        </w:rPr>
      </w:pPr>
      <w:bookmarkStart w:id="0" w:name="_GoBack"/>
      <w:bookmarkEnd w:id="0"/>
    </w:p>
    <w:p w14:paraId="369FAA48" w14:textId="77777777" w:rsidR="00CE5C22" w:rsidRPr="0053310E" w:rsidRDefault="00D1704D" w:rsidP="009E4FC1">
      <w:pPr>
        <w:pStyle w:val="Body"/>
        <w:numPr>
          <w:ilvl w:val="0"/>
          <w:numId w:val="1"/>
        </w:numPr>
        <w:rPr>
          <w:rFonts w:ascii="Arial" w:hAnsi="Arial" w:cs="Arial"/>
        </w:rPr>
      </w:pPr>
      <w:r w:rsidRPr="0053310E">
        <w:rPr>
          <w:rFonts w:ascii="Arial" w:hAnsi="Arial" w:cs="Arial"/>
        </w:rPr>
        <w:t xml:space="preserve">Financial Reporting and Controls </w:t>
      </w:r>
    </w:p>
    <w:p w14:paraId="26546B3E" w14:textId="77777777" w:rsidR="009E4FC1" w:rsidRPr="0053310E" w:rsidRDefault="009E4FC1" w:rsidP="009E4FC1">
      <w:pPr>
        <w:pStyle w:val="Body"/>
        <w:ind w:left="360"/>
        <w:rPr>
          <w:rFonts w:ascii="Arial" w:hAnsi="Arial" w:cs="Arial"/>
          <w:sz w:val="16"/>
          <w:szCs w:val="16"/>
        </w:rPr>
      </w:pPr>
    </w:p>
    <w:p w14:paraId="718D5FC6" w14:textId="277C768B" w:rsidR="00C65792" w:rsidRPr="0053310E" w:rsidRDefault="009E4FC1" w:rsidP="008B46A6">
      <w:pPr>
        <w:pStyle w:val="Body"/>
        <w:ind w:left="360"/>
        <w:jc w:val="both"/>
        <w:rPr>
          <w:rFonts w:ascii="Arial" w:hAnsi="Arial" w:cs="Arial"/>
        </w:rPr>
      </w:pPr>
      <w:r w:rsidRPr="0053310E">
        <w:rPr>
          <w:rFonts w:ascii="Arial" w:hAnsi="Arial" w:cs="Arial"/>
        </w:rPr>
        <w:t>Approval of the Annual Report and Accounts including the Corporate Governance Statement and Remuneration Report.</w:t>
      </w:r>
    </w:p>
    <w:p w14:paraId="57A010DC" w14:textId="77777777" w:rsidR="009E4FC1" w:rsidRPr="0053310E" w:rsidRDefault="009E4FC1" w:rsidP="009E4FC1">
      <w:pPr>
        <w:pStyle w:val="Body"/>
        <w:ind w:left="360"/>
        <w:rPr>
          <w:rFonts w:ascii="Arial" w:hAnsi="Arial" w:cs="Arial"/>
        </w:rPr>
      </w:pPr>
    </w:p>
    <w:p w14:paraId="32B3B159" w14:textId="7FF0BD07" w:rsidR="009E4FC1" w:rsidRPr="0053310E" w:rsidRDefault="009E4FC1" w:rsidP="009E4FC1">
      <w:pPr>
        <w:pStyle w:val="Body"/>
        <w:numPr>
          <w:ilvl w:val="0"/>
          <w:numId w:val="1"/>
        </w:numPr>
        <w:rPr>
          <w:rFonts w:ascii="Arial" w:hAnsi="Arial" w:cs="Arial"/>
        </w:rPr>
      </w:pPr>
      <w:r w:rsidRPr="0053310E">
        <w:rPr>
          <w:rFonts w:ascii="Arial" w:hAnsi="Arial" w:cs="Arial"/>
        </w:rPr>
        <w:t>Internal Controls</w:t>
      </w:r>
      <w:r w:rsidR="007E2F4B" w:rsidRPr="0053310E">
        <w:rPr>
          <w:rFonts w:ascii="Arial" w:hAnsi="Arial" w:cs="Arial"/>
        </w:rPr>
        <w:t xml:space="preserve"> and Risk Management  </w:t>
      </w:r>
    </w:p>
    <w:p w14:paraId="32A76C9D" w14:textId="77777777" w:rsidR="00CE5C22" w:rsidRPr="0053310E" w:rsidRDefault="00CE5C22">
      <w:pPr>
        <w:pStyle w:val="Body"/>
        <w:rPr>
          <w:rFonts w:ascii="Arial" w:hAnsi="Arial" w:cs="Arial"/>
        </w:rPr>
      </w:pPr>
    </w:p>
    <w:p w14:paraId="5DC0B064" w14:textId="658C668D" w:rsidR="00C933FC" w:rsidRPr="0053310E" w:rsidRDefault="00C933FC" w:rsidP="00C65792">
      <w:pPr>
        <w:pStyle w:val="Body"/>
        <w:numPr>
          <w:ilvl w:val="0"/>
          <w:numId w:val="5"/>
        </w:numPr>
        <w:jc w:val="both"/>
        <w:rPr>
          <w:rFonts w:ascii="Arial" w:hAnsi="Arial" w:cs="Arial"/>
        </w:rPr>
      </w:pPr>
      <w:r w:rsidRPr="0053310E">
        <w:rPr>
          <w:rFonts w:ascii="Arial" w:hAnsi="Arial" w:cs="Arial"/>
        </w:rPr>
        <w:t>Establish formal and transparent policies and procedures to ensure the independence and effectiveness of internal and external audit functions and satisfy itself on the integrity of financial and narrative statements;</w:t>
      </w:r>
    </w:p>
    <w:p w14:paraId="00D3BE39" w14:textId="77777777" w:rsidR="00C933FC" w:rsidRPr="0053310E" w:rsidRDefault="00C933FC" w:rsidP="00C933FC">
      <w:pPr>
        <w:pStyle w:val="Body"/>
        <w:ind w:left="720"/>
        <w:jc w:val="both"/>
        <w:rPr>
          <w:rFonts w:ascii="Arial" w:hAnsi="Arial" w:cs="Arial"/>
        </w:rPr>
      </w:pPr>
    </w:p>
    <w:p w14:paraId="216EC32D" w14:textId="1926AEA6" w:rsidR="00C933FC" w:rsidRPr="0053310E" w:rsidRDefault="00C933FC" w:rsidP="00C65792">
      <w:pPr>
        <w:pStyle w:val="Body"/>
        <w:numPr>
          <w:ilvl w:val="0"/>
          <w:numId w:val="5"/>
        </w:numPr>
        <w:jc w:val="both"/>
        <w:rPr>
          <w:rFonts w:ascii="Arial" w:hAnsi="Arial" w:cs="Arial"/>
        </w:rPr>
      </w:pPr>
      <w:r w:rsidRPr="0053310E">
        <w:rPr>
          <w:rFonts w:ascii="Arial" w:hAnsi="Arial" w:cs="Arial"/>
        </w:rPr>
        <w:t>Establish procedures to manage risk, oversee the internal control framework, and determine the nature and extent of the principle risks the Society is willing to take in order to achieve its long-terms strategic objectives;</w:t>
      </w:r>
    </w:p>
    <w:p w14:paraId="09AEE831" w14:textId="77777777" w:rsidR="00C933FC" w:rsidRPr="0053310E" w:rsidRDefault="00C933FC" w:rsidP="00C933FC">
      <w:pPr>
        <w:pStyle w:val="Body"/>
        <w:ind w:left="720"/>
        <w:jc w:val="both"/>
        <w:rPr>
          <w:rFonts w:ascii="Arial" w:hAnsi="Arial" w:cs="Arial"/>
        </w:rPr>
      </w:pPr>
    </w:p>
    <w:p w14:paraId="5BFE8F3C" w14:textId="5D88A221" w:rsidR="00CE5C22" w:rsidRPr="0053310E" w:rsidRDefault="00D1704D" w:rsidP="00C65792">
      <w:pPr>
        <w:pStyle w:val="Body"/>
        <w:numPr>
          <w:ilvl w:val="0"/>
          <w:numId w:val="5"/>
        </w:numPr>
        <w:jc w:val="both"/>
        <w:rPr>
          <w:rFonts w:ascii="Arial" w:hAnsi="Arial" w:cs="Arial"/>
        </w:rPr>
      </w:pPr>
      <w:r w:rsidRPr="0053310E">
        <w:rPr>
          <w:rFonts w:ascii="Arial" w:hAnsi="Arial" w:cs="Arial"/>
        </w:rPr>
        <w:t>Ensuring maintenance of a sound system of internal control and risk management including:</w:t>
      </w:r>
    </w:p>
    <w:p w14:paraId="4FC9E695" w14:textId="77777777" w:rsidR="00CE5C22" w:rsidRPr="0053310E" w:rsidRDefault="00CE5C22">
      <w:pPr>
        <w:pStyle w:val="Body"/>
        <w:rPr>
          <w:rFonts w:ascii="Arial" w:hAnsi="Arial" w:cs="Arial"/>
          <w:sz w:val="16"/>
          <w:szCs w:val="16"/>
        </w:rPr>
      </w:pPr>
    </w:p>
    <w:p w14:paraId="0E297708" w14:textId="09A8DA93" w:rsidR="00C22BD6" w:rsidRPr="0053310E" w:rsidRDefault="00C22BD6" w:rsidP="00C65792">
      <w:pPr>
        <w:pStyle w:val="Body"/>
        <w:numPr>
          <w:ilvl w:val="0"/>
          <w:numId w:val="6"/>
        </w:numPr>
        <w:rPr>
          <w:rFonts w:ascii="Arial" w:hAnsi="Arial" w:cs="Arial"/>
        </w:rPr>
      </w:pPr>
      <w:r w:rsidRPr="0053310E">
        <w:rPr>
          <w:rFonts w:ascii="Arial" w:hAnsi="Arial" w:cs="Arial"/>
        </w:rPr>
        <w:t>a framework of prudent and effective controls, which enable risk to be assessed and managed;</w:t>
      </w:r>
    </w:p>
    <w:p w14:paraId="0F9FD0A7" w14:textId="3AF618FD" w:rsidR="00CE5C22" w:rsidRPr="0053310E" w:rsidRDefault="00D1704D" w:rsidP="00C65792">
      <w:pPr>
        <w:pStyle w:val="Body"/>
        <w:numPr>
          <w:ilvl w:val="0"/>
          <w:numId w:val="6"/>
        </w:numPr>
        <w:rPr>
          <w:rFonts w:ascii="Arial" w:hAnsi="Arial" w:cs="Arial"/>
        </w:rPr>
      </w:pPr>
      <w:r w:rsidRPr="0053310E">
        <w:rPr>
          <w:rFonts w:ascii="Arial" w:hAnsi="Arial" w:cs="Arial"/>
        </w:rPr>
        <w:t>Approval of the Society’s Risk Appetite Statement</w:t>
      </w:r>
      <w:r w:rsidR="00AF451B" w:rsidRPr="0053310E">
        <w:rPr>
          <w:rFonts w:ascii="Arial" w:hAnsi="Arial" w:cs="Arial"/>
        </w:rPr>
        <w:t>;</w:t>
      </w:r>
    </w:p>
    <w:p w14:paraId="01144713" w14:textId="4B05C848" w:rsidR="00CE5C22" w:rsidRPr="0053310E" w:rsidRDefault="00AF451B" w:rsidP="00AF451B">
      <w:pPr>
        <w:pStyle w:val="Body"/>
        <w:numPr>
          <w:ilvl w:val="0"/>
          <w:numId w:val="6"/>
        </w:numPr>
        <w:rPr>
          <w:rFonts w:ascii="Arial" w:hAnsi="Arial" w:cs="Arial"/>
        </w:rPr>
      </w:pPr>
      <w:r w:rsidRPr="0053310E">
        <w:rPr>
          <w:rFonts w:ascii="Arial" w:hAnsi="Arial" w:cs="Arial"/>
        </w:rPr>
        <w:t>R</w:t>
      </w:r>
      <w:r w:rsidR="00D1704D" w:rsidRPr="0053310E">
        <w:rPr>
          <w:rFonts w:ascii="Arial" w:hAnsi="Arial" w:cs="Arial"/>
        </w:rPr>
        <w:t xml:space="preserve">eceiving reports on, and reviewing the effectiveness of, the </w:t>
      </w:r>
      <w:r w:rsidRPr="0053310E">
        <w:rPr>
          <w:rFonts w:ascii="Arial" w:hAnsi="Arial" w:cs="Arial"/>
        </w:rPr>
        <w:t>G</w:t>
      </w:r>
      <w:r w:rsidR="00D1704D" w:rsidRPr="0053310E">
        <w:rPr>
          <w:rFonts w:ascii="Arial" w:hAnsi="Arial" w:cs="Arial"/>
        </w:rPr>
        <w:t>roup’s risk and control</w:t>
      </w:r>
      <w:r w:rsidRPr="0053310E">
        <w:rPr>
          <w:rFonts w:ascii="Arial" w:hAnsi="Arial" w:cs="Arial"/>
        </w:rPr>
        <w:t xml:space="preserve"> p</w:t>
      </w:r>
      <w:r w:rsidR="00D1704D" w:rsidRPr="0053310E">
        <w:rPr>
          <w:rFonts w:ascii="Arial" w:hAnsi="Arial" w:cs="Arial"/>
        </w:rPr>
        <w:t>rocesses to support its strategy and objectives</w:t>
      </w:r>
      <w:r w:rsidRPr="0053310E">
        <w:rPr>
          <w:rFonts w:ascii="Arial" w:hAnsi="Arial" w:cs="Arial"/>
        </w:rPr>
        <w:t>;</w:t>
      </w:r>
    </w:p>
    <w:p w14:paraId="37E14554" w14:textId="06B110BF" w:rsidR="004242AB" w:rsidRPr="0053310E" w:rsidRDefault="004242AB" w:rsidP="00AF451B">
      <w:pPr>
        <w:pStyle w:val="Body"/>
        <w:numPr>
          <w:ilvl w:val="0"/>
          <w:numId w:val="6"/>
        </w:numPr>
        <w:rPr>
          <w:rFonts w:ascii="Arial" w:hAnsi="Arial" w:cs="Arial"/>
        </w:rPr>
      </w:pPr>
      <w:r w:rsidRPr="0053310E">
        <w:rPr>
          <w:rFonts w:ascii="Arial" w:hAnsi="Arial" w:cs="Arial"/>
        </w:rPr>
        <w:t>A robust assessment of the Society’s emerging and principal risks;</w:t>
      </w:r>
    </w:p>
    <w:p w14:paraId="01F7646B" w14:textId="60FDD882" w:rsidR="00CE5C22" w:rsidRPr="0053310E" w:rsidRDefault="00AF451B" w:rsidP="00AF451B">
      <w:pPr>
        <w:pStyle w:val="Body"/>
        <w:numPr>
          <w:ilvl w:val="0"/>
          <w:numId w:val="6"/>
        </w:numPr>
        <w:rPr>
          <w:rFonts w:ascii="Arial" w:hAnsi="Arial" w:cs="Arial"/>
        </w:rPr>
      </w:pPr>
      <w:r w:rsidRPr="0053310E">
        <w:rPr>
          <w:rFonts w:ascii="Arial" w:hAnsi="Arial" w:cs="Arial"/>
        </w:rPr>
        <w:t>A</w:t>
      </w:r>
      <w:r w:rsidR="00D1704D" w:rsidRPr="0053310E">
        <w:rPr>
          <w:rFonts w:ascii="Arial" w:hAnsi="Arial" w:cs="Arial"/>
        </w:rPr>
        <w:t>pproving procedures for the detection of fraud and the prevention of bribery;</w:t>
      </w:r>
    </w:p>
    <w:p w14:paraId="0567CD98" w14:textId="332BD294" w:rsidR="004242AB" w:rsidRPr="0053310E" w:rsidRDefault="004242AB" w:rsidP="00AF451B">
      <w:pPr>
        <w:pStyle w:val="Body"/>
        <w:numPr>
          <w:ilvl w:val="0"/>
          <w:numId w:val="6"/>
        </w:numPr>
        <w:rPr>
          <w:rFonts w:ascii="Arial" w:hAnsi="Arial" w:cs="Arial"/>
        </w:rPr>
      </w:pPr>
      <w:r w:rsidRPr="0053310E">
        <w:rPr>
          <w:rFonts w:ascii="Arial" w:hAnsi="Arial" w:cs="Arial"/>
        </w:rPr>
        <w:t>Monitoring the Society’s risk management and internal controls systems and, at least annually, carry out a review of their effectiveness and report on that review in the annual report;</w:t>
      </w:r>
    </w:p>
    <w:p w14:paraId="0AD41F6A" w14:textId="77777777" w:rsidR="00CE5C22" w:rsidRPr="0053310E" w:rsidRDefault="00AF451B" w:rsidP="00AF451B">
      <w:pPr>
        <w:pStyle w:val="Body"/>
        <w:numPr>
          <w:ilvl w:val="0"/>
          <w:numId w:val="6"/>
        </w:numPr>
        <w:rPr>
          <w:rFonts w:ascii="Arial" w:hAnsi="Arial" w:cs="Arial"/>
        </w:rPr>
      </w:pPr>
      <w:r w:rsidRPr="0053310E">
        <w:rPr>
          <w:rFonts w:ascii="Arial" w:hAnsi="Arial" w:cs="Arial"/>
        </w:rPr>
        <w:t>A</w:t>
      </w:r>
      <w:r w:rsidR="00D1704D" w:rsidRPr="0053310E">
        <w:rPr>
          <w:rFonts w:ascii="Arial" w:hAnsi="Arial" w:cs="Arial"/>
        </w:rPr>
        <w:t>pproving an appropriate statement for inclusion in the annual report</w:t>
      </w:r>
      <w:r w:rsidR="00264142" w:rsidRPr="0053310E">
        <w:rPr>
          <w:rFonts w:ascii="Arial" w:hAnsi="Arial" w:cs="Arial"/>
        </w:rPr>
        <w:t>.</w:t>
      </w:r>
    </w:p>
    <w:p w14:paraId="06C5C983" w14:textId="77777777" w:rsidR="00CE5C22" w:rsidRPr="0053310E" w:rsidRDefault="00CE5C22">
      <w:pPr>
        <w:pStyle w:val="Body"/>
        <w:rPr>
          <w:rFonts w:ascii="Arial" w:hAnsi="Arial" w:cs="Arial"/>
        </w:rPr>
      </w:pPr>
    </w:p>
    <w:p w14:paraId="6CD060EE" w14:textId="77777777" w:rsidR="009E4FC1" w:rsidRPr="0053310E" w:rsidRDefault="009E4FC1" w:rsidP="009E4FC1">
      <w:pPr>
        <w:pStyle w:val="Body"/>
        <w:numPr>
          <w:ilvl w:val="0"/>
          <w:numId w:val="1"/>
        </w:numPr>
        <w:rPr>
          <w:rFonts w:ascii="Arial" w:hAnsi="Arial" w:cs="Arial"/>
        </w:rPr>
      </w:pPr>
      <w:r w:rsidRPr="0053310E">
        <w:rPr>
          <w:rFonts w:ascii="Arial" w:hAnsi="Arial" w:cs="Arial"/>
        </w:rPr>
        <w:t>Communication</w:t>
      </w:r>
    </w:p>
    <w:p w14:paraId="11237000" w14:textId="77777777" w:rsidR="009E4FC1" w:rsidRPr="0053310E" w:rsidRDefault="009E4FC1" w:rsidP="009E4FC1">
      <w:pPr>
        <w:pStyle w:val="Body"/>
        <w:rPr>
          <w:rFonts w:ascii="Arial" w:hAnsi="Arial" w:cs="Arial"/>
          <w:sz w:val="16"/>
          <w:szCs w:val="16"/>
        </w:rPr>
      </w:pPr>
    </w:p>
    <w:p w14:paraId="178C778F" w14:textId="55A52EAF" w:rsidR="00CE5C22" w:rsidRPr="0053310E" w:rsidRDefault="00D1704D" w:rsidP="00847C5F">
      <w:pPr>
        <w:pStyle w:val="Body"/>
        <w:numPr>
          <w:ilvl w:val="0"/>
          <w:numId w:val="7"/>
        </w:numPr>
        <w:jc w:val="both"/>
        <w:rPr>
          <w:rFonts w:ascii="Arial" w:hAnsi="Arial" w:cs="Arial"/>
        </w:rPr>
      </w:pPr>
      <w:r w:rsidRPr="0053310E">
        <w:rPr>
          <w:rFonts w:ascii="Arial" w:hAnsi="Arial" w:cs="Arial"/>
        </w:rPr>
        <w:t>Ensuring a satisfactory dialogue with members based on the mutual understanding of objectives;</w:t>
      </w:r>
    </w:p>
    <w:p w14:paraId="3CFCDBB2" w14:textId="77777777" w:rsidR="00E27894" w:rsidRPr="0053310E" w:rsidRDefault="00E27894" w:rsidP="00E27894">
      <w:pPr>
        <w:pStyle w:val="Body"/>
        <w:ind w:left="720"/>
        <w:jc w:val="both"/>
        <w:rPr>
          <w:rFonts w:ascii="Arial" w:hAnsi="Arial" w:cs="Arial"/>
        </w:rPr>
      </w:pPr>
    </w:p>
    <w:p w14:paraId="01171D95" w14:textId="4B8519A0" w:rsidR="00E27894" w:rsidRPr="0053310E" w:rsidRDefault="00E27894" w:rsidP="00E27894">
      <w:pPr>
        <w:pStyle w:val="ListParagraph"/>
        <w:numPr>
          <w:ilvl w:val="0"/>
          <w:numId w:val="7"/>
        </w:numPr>
        <w:rPr>
          <w:rFonts w:ascii="Arial" w:hAnsi="Arial" w:cs="Arial"/>
          <w:color w:val="000000"/>
          <w:sz w:val="22"/>
          <w:szCs w:val="22"/>
          <w:lang w:eastAsia="en-GB"/>
        </w:rPr>
      </w:pPr>
      <w:r w:rsidRPr="0053310E">
        <w:rPr>
          <w:rFonts w:ascii="Arial" w:hAnsi="Arial" w:cs="Arial"/>
          <w:color w:val="000000"/>
          <w:sz w:val="22"/>
          <w:szCs w:val="22"/>
          <w:lang w:eastAsia="en-GB"/>
        </w:rPr>
        <w:t xml:space="preserve">Understand the views of the Society’s other key stakeholders, keep engagement mechanisms under review and ensure they remain effective. </w:t>
      </w:r>
    </w:p>
    <w:p w14:paraId="4C34E06C" w14:textId="77777777" w:rsidR="00E27894" w:rsidRPr="0053310E" w:rsidRDefault="00E27894" w:rsidP="00E27894">
      <w:pPr>
        <w:pStyle w:val="ListParagraph"/>
        <w:rPr>
          <w:rFonts w:ascii="Arial" w:hAnsi="Arial" w:cs="Arial"/>
          <w:color w:val="000000"/>
          <w:sz w:val="22"/>
          <w:szCs w:val="22"/>
          <w:lang w:eastAsia="en-GB"/>
        </w:rPr>
      </w:pPr>
    </w:p>
    <w:p w14:paraId="2DC5521E" w14:textId="4ED0CD14" w:rsidR="00E27894" w:rsidRPr="0053310E" w:rsidRDefault="00E27894" w:rsidP="00847C5F">
      <w:pPr>
        <w:pStyle w:val="Body"/>
        <w:numPr>
          <w:ilvl w:val="0"/>
          <w:numId w:val="7"/>
        </w:numPr>
        <w:jc w:val="both"/>
        <w:rPr>
          <w:rFonts w:ascii="Arial" w:hAnsi="Arial" w:cs="Arial"/>
        </w:rPr>
      </w:pPr>
      <w:r w:rsidRPr="0053310E">
        <w:rPr>
          <w:rFonts w:ascii="Arial" w:hAnsi="Arial" w:cs="Arial"/>
        </w:rPr>
        <w:t xml:space="preserve">Routinely review the mechanism for the workforce to raise concerns in confidence and, if they wish, anonymously, and the reports arising from its operation including arrangements for the proportionate and independent investigation of such matters and follow up action. </w:t>
      </w:r>
    </w:p>
    <w:p w14:paraId="02D36E56" w14:textId="77777777" w:rsidR="0043677F" w:rsidRPr="0053310E" w:rsidRDefault="0043677F" w:rsidP="0043677F">
      <w:pPr>
        <w:pStyle w:val="Body"/>
        <w:ind w:left="720"/>
        <w:rPr>
          <w:rFonts w:ascii="Arial" w:hAnsi="Arial" w:cs="Arial"/>
          <w:sz w:val="16"/>
          <w:szCs w:val="16"/>
        </w:rPr>
      </w:pPr>
    </w:p>
    <w:p w14:paraId="043C945D" w14:textId="77777777" w:rsidR="00CE5C22" w:rsidRPr="0053310E" w:rsidRDefault="0043677F" w:rsidP="00847C5F">
      <w:pPr>
        <w:pStyle w:val="Body"/>
        <w:numPr>
          <w:ilvl w:val="0"/>
          <w:numId w:val="7"/>
        </w:numPr>
        <w:jc w:val="both"/>
        <w:rPr>
          <w:rFonts w:ascii="Arial" w:hAnsi="Arial" w:cs="Arial"/>
        </w:rPr>
      </w:pPr>
      <w:r w:rsidRPr="0053310E">
        <w:rPr>
          <w:rFonts w:ascii="Arial" w:hAnsi="Arial" w:cs="Arial"/>
        </w:rPr>
        <w:t>A</w:t>
      </w:r>
      <w:r w:rsidR="00D1704D" w:rsidRPr="0053310E">
        <w:rPr>
          <w:rFonts w:ascii="Arial" w:hAnsi="Arial" w:cs="Arial"/>
        </w:rPr>
        <w:t>pproval of resolutions and corresponding documentation to be put forward to members at a general meeting</w:t>
      </w:r>
      <w:r w:rsidR="00264142" w:rsidRPr="0053310E">
        <w:rPr>
          <w:rFonts w:ascii="Arial" w:hAnsi="Arial" w:cs="Arial"/>
        </w:rPr>
        <w:t>.</w:t>
      </w:r>
    </w:p>
    <w:p w14:paraId="23147354" w14:textId="77777777" w:rsidR="00CE5C22" w:rsidRPr="0053310E" w:rsidRDefault="00CE5C22">
      <w:pPr>
        <w:pStyle w:val="Body"/>
        <w:rPr>
          <w:rFonts w:ascii="Arial" w:hAnsi="Arial" w:cs="Arial"/>
        </w:rPr>
      </w:pPr>
    </w:p>
    <w:p w14:paraId="6299292F" w14:textId="0E2C6CAD" w:rsidR="00CE5C22" w:rsidRPr="0053310E" w:rsidRDefault="00D1704D" w:rsidP="00EA6390">
      <w:pPr>
        <w:pStyle w:val="Body"/>
        <w:numPr>
          <w:ilvl w:val="0"/>
          <w:numId w:val="1"/>
        </w:numPr>
        <w:rPr>
          <w:rFonts w:ascii="Arial" w:hAnsi="Arial" w:cs="Arial"/>
        </w:rPr>
      </w:pPr>
      <w:r w:rsidRPr="0053310E">
        <w:rPr>
          <w:rFonts w:ascii="Arial" w:hAnsi="Arial" w:cs="Arial"/>
        </w:rPr>
        <w:t>Board Membership</w:t>
      </w:r>
      <w:r w:rsidR="00C933FC" w:rsidRPr="0053310E">
        <w:rPr>
          <w:rFonts w:ascii="Arial" w:hAnsi="Arial" w:cs="Arial"/>
        </w:rPr>
        <w:t xml:space="preserve">, </w:t>
      </w:r>
      <w:r w:rsidRPr="0053310E">
        <w:rPr>
          <w:rFonts w:ascii="Arial" w:hAnsi="Arial" w:cs="Arial"/>
        </w:rPr>
        <w:t>Other Appointments</w:t>
      </w:r>
      <w:r w:rsidR="00F31AAB" w:rsidRPr="0053310E">
        <w:rPr>
          <w:rFonts w:ascii="Arial" w:hAnsi="Arial" w:cs="Arial"/>
        </w:rPr>
        <w:t xml:space="preserve"> and Succession Plans</w:t>
      </w:r>
      <w:r w:rsidR="00C933FC" w:rsidRPr="0053310E">
        <w:rPr>
          <w:rFonts w:ascii="Arial" w:hAnsi="Arial" w:cs="Arial"/>
        </w:rPr>
        <w:t>,</w:t>
      </w:r>
      <w:r w:rsidR="00F31AAB" w:rsidRPr="0053310E">
        <w:rPr>
          <w:rFonts w:ascii="Arial" w:hAnsi="Arial" w:cs="Arial"/>
        </w:rPr>
        <w:t xml:space="preserve"> based on merit and objective criteria and, within this context, promot</w:t>
      </w:r>
      <w:r w:rsidR="00C933FC" w:rsidRPr="0053310E">
        <w:rPr>
          <w:rFonts w:ascii="Arial" w:hAnsi="Arial" w:cs="Arial"/>
        </w:rPr>
        <w:t>ing</w:t>
      </w:r>
      <w:r w:rsidR="00F31AAB" w:rsidRPr="0053310E">
        <w:rPr>
          <w:rFonts w:ascii="Arial" w:hAnsi="Arial" w:cs="Arial"/>
        </w:rPr>
        <w:t xml:space="preserve"> diversity of gender, social and ethnic backgrounds, cognitive and personal </w:t>
      </w:r>
      <w:r w:rsidR="00C933FC" w:rsidRPr="0053310E">
        <w:rPr>
          <w:rFonts w:ascii="Arial" w:hAnsi="Arial" w:cs="Arial"/>
        </w:rPr>
        <w:t>strengths</w:t>
      </w:r>
      <w:r w:rsidR="00847C5F" w:rsidRPr="0053310E">
        <w:rPr>
          <w:rFonts w:ascii="Arial" w:hAnsi="Arial" w:cs="Arial"/>
        </w:rPr>
        <w:t>;</w:t>
      </w:r>
    </w:p>
    <w:p w14:paraId="28CDCC33" w14:textId="77777777" w:rsidR="00CE5C22" w:rsidRPr="0053310E" w:rsidRDefault="00CE5C22">
      <w:pPr>
        <w:pStyle w:val="Body"/>
        <w:rPr>
          <w:rFonts w:ascii="Arial" w:hAnsi="Arial" w:cs="Arial"/>
          <w:sz w:val="16"/>
          <w:szCs w:val="16"/>
        </w:rPr>
      </w:pPr>
    </w:p>
    <w:p w14:paraId="7A1F93B2" w14:textId="15305747" w:rsidR="00CE5C22" w:rsidRPr="0053310E" w:rsidRDefault="00D1704D" w:rsidP="00EA6390">
      <w:pPr>
        <w:pStyle w:val="Body"/>
        <w:numPr>
          <w:ilvl w:val="0"/>
          <w:numId w:val="8"/>
        </w:numPr>
        <w:jc w:val="both"/>
        <w:rPr>
          <w:rFonts w:ascii="Arial" w:hAnsi="Arial" w:cs="Arial"/>
        </w:rPr>
      </w:pPr>
      <w:r w:rsidRPr="0053310E">
        <w:rPr>
          <w:rFonts w:ascii="Arial" w:hAnsi="Arial" w:cs="Arial"/>
        </w:rPr>
        <w:t>Changes to the structure, size and composition of the Board, following recommendations from the Nominations Committee</w:t>
      </w:r>
      <w:r w:rsidR="009557C2" w:rsidRPr="0053310E">
        <w:rPr>
          <w:rFonts w:ascii="Arial" w:hAnsi="Arial" w:cs="Arial"/>
        </w:rPr>
        <w:t>;</w:t>
      </w:r>
    </w:p>
    <w:p w14:paraId="28720555" w14:textId="77777777" w:rsidR="009557C2" w:rsidRPr="0053310E" w:rsidRDefault="009557C2" w:rsidP="009557C2">
      <w:pPr>
        <w:pStyle w:val="Body"/>
        <w:ind w:left="720"/>
        <w:jc w:val="both"/>
        <w:rPr>
          <w:rFonts w:ascii="Arial" w:hAnsi="Arial" w:cs="Arial"/>
          <w:sz w:val="16"/>
          <w:szCs w:val="16"/>
        </w:rPr>
      </w:pPr>
    </w:p>
    <w:p w14:paraId="3943567C" w14:textId="7A90E9B9" w:rsidR="00CE5C22" w:rsidRPr="0053310E" w:rsidRDefault="009557C2" w:rsidP="009557C2">
      <w:pPr>
        <w:pStyle w:val="Body"/>
        <w:numPr>
          <w:ilvl w:val="0"/>
          <w:numId w:val="8"/>
        </w:numPr>
        <w:jc w:val="both"/>
        <w:rPr>
          <w:rFonts w:ascii="Arial" w:hAnsi="Arial" w:cs="Arial"/>
        </w:rPr>
      </w:pPr>
      <w:r w:rsidRPr="0053310E">
        <w:rPr>
          <w:rFonts w:ascii="Arial" w:hAnsi="Arial" w:cs="Arial"/>
        </w:rPr>
        <w:lastRenderedPageBreak/>
        <w:t>A</w:t>
      </w:r>
      <w:r w:rsidR="00D1704D" w:rsidRPr="0053310E">
        <w:rPr>
          <w:rFonts w:ascii="Arial" w:hAnsi="Arial" w:cs="Arial"/>
        </w:rPr>
        <w:t>ppointments to the Board following recommendations by the Nominations Committee</w:t>
      </w:r>
      <w:r w:rsidR="0044695D" w:rsidRPr="0053310E">
        <w:rPr>
          <w:rFonts w:ascii="Arial" w:hAnsi="Arial" w:cs="Arial"/>
        </w:rPr>
        <w:t>;</w:t>
      </w:r>
    </w:p>
    <w:p w14:paraId="6759AD42" w14:textId="77777777" w:rsidR="0044695D" w:rsidRPr="0053310E" w:rsidRDefault="0044695D" w:rsidP="0044695D">
      <w:pPr>
        <w:pStyle w:val="ListParagraph"/>
        <w:rPr>
          <w:rFonts w:ascii="Arial" w:hAnsi="Arial" w:cs="Arial"/>
          <w:sz w:val="16"/>
          <w:szCs w:val="16"/>
        </w:rPr>
      </w:pPr>
    </w:p>
    <w:p w14:paraId="7658B17D" w14:textId="77777777" w:rsidR="00CE5C22" w:rsidRPr="0053310E" w:rsidRDefault="0044695D" w:rsidP="0044695D">
      <w:pPr>
        <w:pStyle w:val="Body"/>
        <w:numPr>
          <w:ilvl w:val="0"/>
          <w:numId w:val="8"/>
        </w:numPr>
        <w:jc w:val="both"/>
        <w:rPr>
          <w:rFonts w:ascii="Arial" w:hAnsi="Arial" w:cs="Arial"/>
        </w:rPr>
      </w:pPr>
      <w:r w:rsidRPr="0053310E">
        <w:rPr>
          <w:rFonts w:ascii="Arial" w:hAnsi="Arial" w:cs="Arial"/>
        </w:rPr>
        <w:t>S</w:t>
      </w:r>
      <w:r w:rsidR="00D1704D" w:rsidRPr="0053310E">
        <w:rPr>
          <w:rFonts w:ascii="Arial" w:hAnsi="Arial" w:cs="Arial"/>
        </w:rPr>
        <w:t>election of the Chairman of the Board and the Chief Executive</w:t>
      </w:r>
      <w:r w:rsidR="00A577C3" w:rsidRPr="0053310E">
        <w:rPr>
          <w:rFonts w:ascii="Arial" w:hAnsi="Arial" w:cs="Arial"/>
        </w:rPr>
        <w:t>;</w:t>
      </w:r>
    </w:p>
    <w:p w14:paraId="439DF38F" w14:textId="77777777" w:rsidR="0044695D" w:rsidRPr="0053310E" w:rsidRDefault="0044695D" w:rsidP="0044695D">
      <w:pPr>
        <w:pStyle w:val="ListParagraph"/>
        <w:rPr>
          <w:rFonts w:ascii="Arial" w:hAnsi="Arial" w:cs="Arial"/>
          <w:sz w:val="16"/>
          <w:szCs w:val="16"/>
        </w:rPr>
      </w:pPr>
    </w:p>
    <w:p w14:paraId="1D958533" w14:textId="77777777" w:rsidR="00CE5C22" w:rsidRPr="0053310E" w:rsidRDefault="0044695D" w:rsidP="0044695D">
      <w:pPr>
        <w:pStyle w:val="Body"/>
        <w:numPr>
          <w:ilvl w:val="0"/>
          <w:numId w:val="8"/>
        </w:numPr>
        <w:jc w:val="both"/>
        <w:rPr>
          <w:rFonts w:ascii="Arial" w:hAnsi="Arial" w:cs="Arial"/>
        </w:rPr>
      </w:pPr>
      <w:r w:rsidRPr="0053310E">
        <w:rPr>
          <w:rFonts w:ascii="Arial" w:hAnsi="Arial" w:cs="Arial"/>
        </w:rPr>
        <w:t>A</w:t>
      </w:r>
      <w:r w:rsidR="00D1704D" w:rsidRPr="0053310E">
        <w:rPr>
          <w:rFonts w:ascii="Arial" w:hAnsi="Arial" w:cs="Arial"/>
        </w:rPr>
        <w:t xml:space="preserve">ppointment of </w:t>
      </w:r>
      <w:r w:rsidR="000D1FB4" w:rsidRPr="0053310E">
        <w:rPr>
          <w:rFonts w:ascii="Arial" w:hAnsi="Arial" w:cs="Arial"/>
        </w:rPr>
        <w:t>a S</w:t>
      </w:r>
      <w:r w:rsidR="00D1704D" w:rsidRPr="0053310E">
        <w:rPr>
          <w:rFonts w:ascii="Arial" w:hAnsi="Arial" w:cs="Arial"/>
        </w:rPr>
        <w:t xml:space="preserve">enior </w:t>
      </w:r>
      <w:r w:rsidR="000D1FB4" w:rsidRPr="0053310E">
        <w:rPr>
          <w:rFonts w:ascii="Arial" w:hAnsi="Arial" w:cs="Arial"/>
        </w:rPr>
        <w:t>I</w:t>
      </w:r>
      <w:r w:rsidR="00D1704D" w:rsidRPr="0053310E">
        <w:rPr>
          <w:rFonts w:ascii="Arial" w:hAnsi="Arial" w:cs="Arial"/>
        </w:rPr>
        <w:t xml:space="preserve">ndependent </w:t>
      </w:r>
      <w:r w:rsidR="000D1FB4" w:rsidRPr="0053310E">
        <w:rPr>
          <w:rFonts w:ascii="Arial" w:hAnsi="Arial" w:cs="Arial"/>
        </w:rPr>
        <w:t>D</w:t>
      </w:r>
      <w:r w:rsidR="00D1704D" w:rsidRPr="0053310E">
        <w:rPr>
          <w:rFonts w:ascii="Arial" w:hAnsi="Arial" w:cs="Arial"/>
        </w:rPr>
        <w:t xml:space="preserve">irector to provide a sounding board to the </w:t>
      </w:r>
      <w:r w:rsidR="000D1FB4" w:rsidRPr="0053310E">
        <w:rPr>
          <w:rFonts w:ascii="Arial" w:hAnsi="Arial" w:cs="Arial"/>
        </w:rPr>
        <w:t>C</w:t>
      </w:r>
      <w:r w:rsidR="00D1704D" w:rsidRPr="0053310E">
        <w:rPr>
          <w:rFonts w:ascii="Arial" w:hAnsi="Arial" w:cs="Arial"/>
        </w:rPr>
        <w:t>hairman and to serve as intermediary for the other directors when necessary</w:t>
      </w:r>
      <w:r w:rsidR="00A577C3" w:rsidRPr="0053310E">
        <w:rPr>
          <w:rFonts w:ascii="Arial" w:hAnsi="Arial" w:cs="Arial"/>
        </w:rPr>
        <w:t>;</w:t>
      </w:r>
    </w:p>
    <w:p w14:paraId="0C23BD9D" w14:textId="77777777" w:rsidR="00A577C3" w:rsidRPr="0053310E" w:rsidRDefault="00A577C3" w:rsidP="00A577C3">
      <w:pPr>
        <w:pStyle w:val="ListParagraph"/>
        <w:rPr>
          <w:rFonts w:ascii="Arial" w:hAnsi="Arial" w:cs="Arial"/>
          <w:sz w:val="16"/>
          <w:szCs w:val="16"/>
        </w:rPr>
      </w:pPr>
    </w:p>
    <w:p w14:paraId="522DD978" w14:textId="56849320" w:rsidR="00CE5C22" w:rsidRPr="0053310E" w:rsidRDefault="00A577C3" w:rsidP="00A577C3">
      <w:pPr>
        <w:pStyle w:val="Body"/>
        <w:numPr>
          <w:ilvl w:val="0"/>
          <w:numId w:val="8"/>
        </w:numPr>
        <w:jc w:val="both"/>
        <w:rPr>
          <w:rFonts w:ascii="Arial" w:hAnsi="Arial" w:cs="Arial"/>
        </w:rPr>
      </w:pPr>
      <w:r w:rsidRPr="0053310E">
        <w:rPr>
          <w:rFonts w:ascii="Arial" w:hAnsi="Arial" w:cs="Arial"/>
        </w:rPr>
        <w:t>M</w:t>
      </w:r>
      <w:r w:rsidR="00D1704D" w:rsidRPr="0053310E">
        <w:rPr>
          <w:rFonts w:ascii="Arial" w:hAnsi="Arial" w:cs="Arial"/>
        </w:rPr>
        <w:t xml:space="preserve">embership of </w:t>
      </w:r>
      <w:r w:rsidRPr="0053310E">
        <w:rPr>
          <w:rFonts w:ascii="Arial" w:hAnsi="Arial" w:cs="Arial"/>
        </w:rPr>
        <w:t>B</w:t>
      </w:r>
      <w:r w:rsidR="00D1704D" w:rsidRPr="0053310E">
        <w:rPr>
          <w:rFonts w:ascii="Arial" w:hAnsi="Arial" w:cs="Arial"/>
        </w:rPr>
        <w:t>oard</w:t>
      </w:r>
      <w:r w:rsidRPr="0053310E">
        <w:rPr>
          <w:rFonts w:ascii="Arial" w:hAnsi="Arial" w:cs="Arial"/>
        </w:rPr>
        <w:t xml:space="preserve"> C</w:t>
      </w:r>
      <w:r w:rsidR="00D1704D" w:rsidRPr="0053310E">
        <w:rPr>
          <w:rFonts w:ascii="Arial" w:hAnsi="Arial" w:cs="Arial"/>
        </w:rPr>
        <w:t xml:space="preserve">ommittees following recommendations from the </w:t>
      </w:r>
      <w:r w:rsidRPr="0053310E">
        <w:rPr>
          <w:rFonts w:ascii="Arial" w:hAnsi="Arial" w:cs="Arial"/>
        </w:rPr>
        <w:t>N</w:t>
      </w:r>
      <w:r w:rsidR="00D1704D" w:rsidRPr="0053310E">
        <w:rPr>
          <w:rFonts w:ascii="Arial" w:hAnsi="Arial" w:cs="Arial"/>
        </w:rPr>
        <w:t xml:space="preserve">ominations </w:t>
      </w:r>
      <w:r w:rsidRPr="0053310E">
        <w:rPr>
          <w:rFonts w:ascii="Arial" w:hAnsi="Arial" w:cs="Arial"/>
        </w:rPr>
        <w:t>C</w:t>
      </w:r>
      <w:r w:rsidR="00D1704D" w:rsidRPr="0053310E">
        <w:rPr>
          <w:rFonts w:ascii="Arial" w:hAnsi="Arial" w:cs="Arial"/>
        </w:rPr>
        <w:t>ommittee</w:t>
      </w:r>
      <w:r w:rsidRPr="0053310E">
        <w:rPr>
          <w:rFonts w:ascii="Arial" w:hAnsi="Arial" w:cs="Arial"/>
        </w:rPr>
        <w:t>;</w:t>
      </w:r>
    </w:p>
    <w:p w14:paraId="43FCBB97" w14:textId="77777777" w:rsidR="00A577C3" w:rsidRPr="0053310E" w:rsidRDefault="00A577C3" w:rsidP="00A577C3">
      <w:pPr>
        <w:pStyle w:val="ListParagraph"/>
        <w:rPr>
          <w:rFonts w:ascii="Arial" w:hAnsi="Arial" w:cs="Arial"/>
          <w:sz w:val="16"/>
          <w:szCs w:val="16"/>
        </w:rPr>
      </w:pPr>
    </w:p>
    <w:p w14:paraId="51B57861" w14:textId="77777777" w:rsidR="00CE5C22" w:rsidRPr="0053310E" w:rsidRDefault="00A577C3" w:rsidP="00A577C3">
      <w:pPr>
        <w:pStyle w:val="Body"/>
        <w:numPr>
          <w:ilvl w:val="0"/>
          <w:numId w:val="8"/>
        </w:numPr>
        <w:jc w:val="both"/>
        <w:rPr>
          <w:rFonts w:ascii="Arial" w:hAnsi="Arial" w:cs="Arial"/>
        </w:rPr>
      </w:pPr>
      <w:r w:rsidRPr="0053310E">
        <w:rPr>
          <w:rFonts w:ascii="Arial" w:hAnsi="Arial" w:cs="Arial"/>
        </w:rPr>
        <w:t>A</w:t>
      </w:r>
      <w:r w:rsidR="00D1704D" w:rsidRPr="0053310E">
        <w:rPr>
          <w:rFonts w:ascii="Arial" w:hAnsi="Arial" w:cs="Arial"/>
        </w:rPr>
        <w:t xml:space="preserve">ppointment or removal of the </w:t>
      </w:r>
      <w:r w:rsidRPr="0053310E">
        <w:rPr>
          <w:rFonts w:ascii="Arial" w:hAnsi="Arial" w:cs="Arial"/>
        </w:rPr>
        <w:t>C</w:t>
      </w:r>
      <w:r w:rsidR="00D1704D" w:rsidRPr="0053310E">
        <w:rPr>
          <w:rFonts w:ascii="Arial" w:hAnsi="Arial" w:cs="Arial"/>
        </w:rPr>
        <w:t xml:space="preserve">ompany </w:t>
      </w:r>
      <w:r w:rsidRPr="0053310E">
        <w:rPr>
          <w:rFonts w:ascii="Arial" w:hAnsi="Arial" w:cs="Arial"/>
        </w:rPr>
        <w:t>S</w:t>
      </w:r>
      <w:r w:rsidR="00D1704D" w:rsidRPr="0053310E">
        <w:rPr>
          <w:rFonts w:ascii="Arial" w:hAnsi="Arial" w:cs="Arial"/>
        </w:rPr>
        <w:t>ecretary</w:t>
      </w:r>
      <w:r w:rsidRPr="0053310E">
        <w:rPr>
          <w:rFonts w:ascii="Arial" w:hAnsi="Arial" w:cs="Arial"/>
        </w:rPr>
        <w:t>;</w:t>
      </w:r>
    </w:p>
    <w:p w14:paraId="34DB9AC4" w14:textId="77777777" w:rsidR="00FA725A" w:rsidRPr="0053310E" w:rsidRDefault="00FA725A" w:rsidP="00B208B4">
      <w:pPr>
        <w:pStyle w:val="Body"/>
        <w:ind w:left="720"/>
        <w:jc w:val="both"/>
        <w:rPr>
          <w:rFonts w:ascii="Arial" w:hAnsi="Arial" w:cs="Arial"/>
        </w:rPr>
      </w:pPr>
    </w:p>
    <w:p w14:paraId="29296A31" w14:textId="2CC14C0C" w:rsidR="00FA725A" w:rsidRPr="0053310E" w:rsidRDefault="00FA725A" w:rsidP="00A577C3">
      <w:pPr>
        <w:pStyle w:val="Body"/>
        <w:numPr>
          <w:ilvl w:val="0"/>
          <w:numId w:val="8"/>
        </w:numPr>
        <w:jc w:val="both"/>
        <w:rPr>
          <w:rFonts w:ascii="Arial" w:hAnsi="Arial" w:cs="Arial"/>
        </w:rPr>
      </w:pPr>
      <w:r w:rsidRPr="0053310E">
        <w:rPr>
          <w:rFonts w:ascii="Arial" w:hAnsi="Arial" w:cs="Arial"/>
        </w:rPr>
        <w:t xml:space="preserve">Removal of the </w:t>
      </w:r>
      <w:r w:rsidR="001C1C95" w:rsidRPr="0053310E">
        <w:rPr>
          <w:rFonts w:ascii="Arial" w:hAnsi="Arial" w:cs="Arial"/>
        </w:rPr>
        <w:t xml:space="preserve">Chairman, </w:t>
      </w:r>
      <w:r w:rsidRPr="0053310E">
        <w:rPr>
          <w:rFonts w:ascii="Arial" w:hAnsi="Arial" w:cs="Arial"/>
        </w:rPr>
        <w:t xml:space="preserve">Chief Executive, </w:t>
      </w:r>
      <w:r w:rsidR="001C1C95" w:rsidRPr="0053310E">
        <w:rPr>
          <w:rFonts w:ascii="Arial" w:hAnsi="Arial" w:cs="Arial"/>
        </w:rPr>
        <w:t>Director</w:t>
      </w:r>
      <w:r w:rsidRPr="0053310E">
        <w:rPr>
          <w:rFonts w:ascii="Arial" w:hAnsi="Arial" w:cs="Arial"/>
        </w:rPr>
        <w:t xml:space="preserve"> and Head of Risk &amp; Compliance;</w:t>
      </w:r>
    </w:p>
    <w:p w14:paraId="39D809FD" w14:textId="77777777" w:rsidR="00A577C3" w:rsidRPr="0053310E" w:rsidRDefault="00A577C3" w:rsidP="00A577C3">
      <w:pPr>
        <w:pStyle w:val="ListParagraph"/>
        <w:rPr>
          <w:rFonts w:ascii="Arial" w:hAnsi="Arial" w:cs="Arial"/>
          <w:sz w:val="16"/>
          <w:szCs w:val="16"/>
        </w:rPr>
      </w:pPr>
    </w:p>
    <w:p w14:paraId="30040634" w14:textId="41FF58F1" w:rsidR="00CE5C22" w:rsidRPr="0053310E" w:rsidRDefault="00A577C3" w:rsidP="00A577C3">
      <w:pPr>
        <w:pStyle w:val="Body"/>
        <w:numPr>
          <w:ilvl w:val="0"/>
          <w:numId w:val="8"/>
        </w:numPr>
        <w:jc w:val="both"/>
        <w:rPr>
          <w:rFonts w:ascii="Arial" w:hAnsi="Arial" w:cs="Arial"/>
        </w:rPr>
      </w:pPr>
      <w:r w:rsidRPr="0053310E">
        <w:rPr>
          <w:rFonts w:ascii="Arial" w:hAnsi="Arial" w:cs="Arial"/>
        </w:rPr>
        <w:t>A</w:t>
      </w:r>
      <w:r w:rsidR="00D1704D" w:rsidRPr="0053310E">
        <w:rPr>
          <w:rFonts w:ascii="Arial" w:hAnsi="Arial" w:cs="Arial"/>
        </w:rPr>
        <w:t xml:space="preserve">ppointment, reappointment or removal of the external </w:t>
      </w:r>
      <w:r w:rsidR="00FA725A" w:rsidRPr="0053310E">
        <w:rPr>
          <w:rFonts w:ascii="Arial" w:hAnsi="Arial" w:cs="Arial"/>
        </w:rPr>
        <w:t xml:space="preserve">and internal </w:t>
      </w:r>
      <w:r w:rsidR="001C5589" w:rsidRPr="0053310E">
        <w:rPr>
          <w:rFonts w:ascii="Arial" w:hAnsi="Arial" w:cs="Arial"/>
        </w:rPr>
        <w:t>a</w:t>
      </w:r>
      <w:r w:rsidR="00D1704D" w:rsidRPr="0053310E">
        <w:rPr>
          <w:rFonts w:ascii="Arial" w:hAnsi="Arial" w:cs="Arial"/>
        </w:rPr>
        <w:t>uditors after recommendations from the Audit Committee. Members approve the appointment of external auditors at the AGM</w:t>
      </w:r>
      <w:r w:rsidR="00C86C8B" w:rsidRPr="0053310E">
        <w:rPr>
          <w:rFonts w:ascii="Arial" w:hAnsi="Arial" w:cs="Arial"/>
        </w:rPr>
        <w:t>;</w:t>
      </w:r>
    </w:p>
    <w:p w14:paraId="256EC3D2" w14:textId="77777777" w:rsidR="00C86C8B" w:rsidRPr="0053310E" w:rsidRDefault="00C86C8B" w:rsidP="00C86C8B">
      <w:pPr>
        <w:pStyle w:val="ListParagraph"/>
        <w:rPr>
          <w:rFonts w:ascii="Arial" w:hAnsi="Arial" w:cs="Arial"/>
          <w:sz w:val="16"/>
          <w:szCs w:val="16"/>
        </w:rPr>
      </w:pPr>
    </w:p>
    <w:p w14:paraId="255B1B58" w14:textId="6B2B27D5" w:rsidR="00CE5C22" w:rsidRPr="0053310E" w:rsidRDefault="00C86C8B" w:rsidP="00C86C8B">
      <w:pPr>
        <w:pStyle w:val="Body"/>
        <w:numPr>
          <w:ilvl w:val="0"/>
          <w:numId w:val="8"/>
        </w:numPr>
        <w:jc w:val="both"/>
        <w:rPr>
          <w:rFonts w:ascii="Arial" w:hAnsi="Arial" w:cs="Arial"/>
        </w:rPr>
      </w:pPr>
      <w:r w:rsidRPr="0053310E">
        <w:rPr>
          <w:rFonts w:ascii="Arial" w:hAnsi="Arial" w:cs="Arial"/>
        </w:rPr>
        <w:t>A</w:t>
      </w:r>
      <w:r w:rsidR="00D1704D" w:rsidRPr="0053310E">
        <w:rPr>
          <w:rFonts w:ascii="Arial" w:hAnsi="Arial" w:cs="Arial"/>
        </w:rPr>
        <w:t xml:space="preserve">ppointments to the Board of subsidiaries and associates following recommendations of the </w:t>
      </w:r>
      <w:r w:rsidRPr="0053310E">
        <w:rPr>
          <w:rFonts w:ascii="Arial" w:hAnsi="Arial" w:cs="Arial"/>
        </w:rPr>
        <w:t>N</w:t>
      </w:r>
      <w:r w:rsidR="00D1704D" w:rsidRPr="0053310E">
        <w:rPr>
          <w:rFonts w:ascii="Arial" w:hAnsi="Arial" w:cs="Arial"/>
        </w:rPr>
        <w:t xml:space="preserve">ominations </w:t>
      </w:r>
      <w:r w:rsidRPr="0053310E">
        <w:rPr>
          <w:rFonts w:ascii="Arial" w:hAnsi="Arial" w:cs="Arial"/>
        </w:rPr>
        <w:t>C</w:t>
      </w:r>
      <w:r w:rsidR="00D1704D" w:rsidRPr="0053310E">
        <w:rPr>
          <w:rFonts w:ascii="Arial" w:hAnsi="Arial" w:cs="Arial"/>
        </w:rPr>
        <w:t>ommittee</w:t>
      </w:r>
    </w:p>
    <w:p w14:paraId="3334C075" w14:textId="77777777" w:rsidR="00CE5C22" w:rsidRPr="0053310E" w:rsidRDefault="00CE5C22">
      <w:pPr>
        <w:pStyle w:val="Body"/>
        <w:rPr>
          <w:rFonts w:ascii="Arial" w:hAnsi="Arial" w:cs="Arial"/>
        </w:rPr>
      </w:pPr>
    </w:p>
    <w:p w14:paraId="09C818E8" w14:textId="77777777" w:rsidR="00CE5C22" w:rsidRPr="0053310E" w:rsidRDefault="00D1704D" w:rsidP="00EA6390">
      <w:pPr>
        <w:pStyle w:val="Body"/>
        <w:numPr>
          <w:ilvl w:val="0"/>
          <w:numId w:val="1"/>
        </w:numPr>
        <w:rPr>
          <w:rFonts w:ascii="Arial" w:hAnsi="Arial" w:cs="Arial"/>
        </w:rPr>
      </w:pPr>
      <w:r w:rsidRPr="0053310E">
        <w:rPr>
          <w:rFonts w:ascii="Arial" w:hAnsi="Arial" w:cs="Arial"/>
        </w:rPr>
        <w:t>Remuneration</w:t>
      </w:r>
    </w:p>
    <w:p w14:paraId="5C702BEF" w14:textId="77777777" w:rsidR="00CE5C22" w:rsidRPr="0053310E" w:rsidRDefault="00CE5C22">
      <w:pPr>
        <w:pStyle w:val="Body"/>
        <w:rPr>
          <w:rFonts w:ascii="Arial" w:hAnsi="Arial" w:cs="Arial"/>
          <w:sz w:val="16"/>
          <w:szCs w:val="16"/>
        </w:rPr>
      </w:pPr>
    </w:p>
    <w:p w14:paraId="56525DBE" w14:textId="77777777" w:rsidR="00CE5C22" w:rsidRPr="0053310E" w:rsidRDefault="00D1704D" w:rsidP="004A7E3F">
      <w:pPr>
        <w:pStyle w:val="Body"/>
        <w:numPr>
          <w:ilvl w:val="0"/>
          <w:numId w:val="9"/>
        </w:numPr>
        <w:jc w:val="both"/>
        <w:rPr>
          <w:rFonts w:ascii="Arial" w:hAnsi="Arial" w:cs="Arial"/>
        </w:rPr>
      </w:pPr>
      <w:r w:rsidRPr="0053310E">
        <w:rPr>
          <w:rFonts w:ascii="Arial" w:hAnsi="Arial" w:cs="Arial"/>
        </w:rPr>
        <w:t xml:space="preserve">Determining the remuneration policy for the </w:t>
      </w:r>
      <w:r w:rsidR="00AB7417" w:rsidRPr="0053310E">
        <w:rPr>
          <w:rFonts w:ascii="Arial" w:hAnsi="Arial" w:cs="Arial"/>
        </w:rPr>
        <w:t>D</w:t>
      </w:r>
      <w:r w:rsidRPr="0053310E">
        <w:rPr>
          <w:rFonts w:ascii="Arial" w:hAnsi="Arial" w:cs="Arial"/>
        </w:rPr>
        <w:t xml:space="preserve">irectors and </w:t>
      </w:r>
      <w:r w:rsidR="00AB7417" w:rsidRPr="0053310E">
        <w:rPr>
          <w:rFonts w:ascii="Arial" w:hAnsi="Arial" w:cs="Arial"/>
        </w:rPr>
        <w:t>C</w:t>
      </w:r>
      <w:r w:rsidRPr="0053310E">
        <w:rPr>
          <w:rFonts w:ascii="Arial" w:hAnsi="Arial" w:cs="Arial"/>
        </w:rPr>
        <w:t xml:space="preserve">ompany </w:t>
      </w:r>
      <w:r w:rsidR="00AB7417" w:rsidRPr="0053310E">
        <w:rPr>
          <w:rFonts w:ascii="Arial" w:hAnsi="Arial" w:cs="Arial"/>
        </w:rPr>
        <w:t>S</w:t>
      </w:r>
      <w:r w:rsidRPr="0053310E">
        <w:rPr>
          <w:rFonts w:ascii="Arial" w:hAnsi="Arial" w:cs="Arial"/>
        </w:rPr>
        <w:t>ecretary and other senior executives following recommendations of the Remuneration Committee</w:t>
      </w:r>
      <w:r w:rsidR="004A7E3F" w:rsidRPr="0053310E">
        <w:rPr>
          <w:rFonts w:ascii="Arial" w:hAnsi="Arial" w:cs="Arial"/>
        </w:rPr>
        <w:t>;</w:t>
      </w:r>
    </w:p>
    <w:p w14:paraId="30E32DC6" w14:textId="77777777" w:rsidR="004A7E3F" w:rsidRPr="0053310E" w:rsidRDefault="004A7E3F" w:rsidP="004A7E3F">
      <w:pPr>
        <w:pStyle w:val="Body"/>
        <w:ind w:left="720"/>
        <w:jc w:val="both"/>
        <w:rPr>
          <w:rFonts w:ascii="Arial" w:hAnsi="Arial" w:cs="Arial"/>
          <w:sz w:val="16"/>
          <w:szCs w:val="16"/>
        </w:rPr>
      </w:pPr>
    </w:p>
    <w:p w14:paraId="72577242" w14:textId="40E77D28" w:rsidR="00DE10BE" w:rsidRPr="0053310E" w:rsidRDefault="004A7E3F" w:rsidP="008B46A6">
      <w:pPr>
        <w:pStyle w:val="Body"/>
        <w:numPr>
          <w:ilvl w:val="0"/>
          <w:numId w:val="9"/>
        </w:numPr>
        <w:jc w:val="both"/>
        <w:rPr>
          <w:rFonts w:ascii="Arial" w:hAnsi="Arial" w:cs="Arial"/>
        </w:rPr>
      </w:pPr>
      <w:r w:rsidRPr="0053310E">
        <w:rPr>
          <w:rFonts w:ascii="Arial" w:hAnsi="Arial" w:cs="Arial"/>
        </w:rPr>
        <w:t>D</w:t>
      </w:r>
      <w:r w:rsidR="00D1704D" w:rsidRPr="0053310E">
        <w:rPr>
          <w:rFonts w:ascii="Arial" w:hAnsi="Arial" w:cs="Arial"/>
        </w:rPr>
        <w:t xml:space="preserve">etermining the remuneration of the non-executive directors, subject to the </w:t>
      </w:r>
      <w:r w:rsidR="00255044" w:rsidRPr="0053310E">
        <w:rPr>
          <w:rFonts w:ascii="Arial" w:hAnsi="Arial" w:cs="Arial"/>
        </w:rPr>
        <w:t>R</w:t>
      </w:r>
      <w:r w:rsidR="00D1704D" w:rsidRPr="0053310E">
        <w:rPr>
          <w:rFonts w:ascii="Arial" w:hAnsi="Arial" w:cs="Arial"/>
        </w:rPr>
        <w:t xml:space="preserve">ules of the </w:t>
      </w:r>
      <w:r w:rsidR="00255044" w:rsidRPr="0053310E">
        <w:rPr>
          <w:rFonts w:ascii="Arial" w:hAnsi="Arial" w:cs="Arial"/>
        </w:rPr>
        <w:t>S</w:t>
      </w:r>
      <w:r w:rsidR="00D1704D" w:rsidRPr="0053310E">
        <w:rPr>
          <w:rFonts w:ascii="Arial" w:hAnsi="Arial" w:cs="Arial"/>
        </w:rPr>
        <w:t>ociety</w:t>
      </w:r>
      <w:r w:rsidR="00255044" w:rsidRPr="0053310E">
        <w:rPr>
          <w:rFonts w:ascii="Arial" w:hAnsi="Arial" w:cs="Arial"/>
        </w:rPr>
        <w:t>.</w:t>
      </w:r>
    </w:p>
    <w:p w14:paraId="0BB95169" w14:textId="77777777" w:rsidR="008B46A6" w:rsidRPr="0053310E" w:rsidRDefault="008B46A6" w:rsidP="008B46A6">
      <w:pPr>
        <w:pStyle w:val="Body"/>
        <w:ind w:left="720"/>
        <w:jc w:val="both"/>
        <w:rPr>
          <w:rFonts w:ascii="Arial" w:hAnsi="Arial" w:cs="Arial"/>
        </w:rPr>
      </w:pPr>
    </w:p>
    <w:p w14:paraId="1FC74F61" w14:textId="77777777" w:rsidR="00CE5C22" w:rsidRPr="0053310E" w:rsidRDefault="00D1704D" w:rsidP="00EA6390">
      <w:pPr>
        <w:pStyle w:val="Body"/>
        <w:numPr>
          <w:ilvl w:val="0"/>
          <w:numId w:val="1"/>
        </w:numPr>
        <w:rPr>
          <w:rFonts w:ascii="Arial" w:hAnsi="Arial" w:cs="Arial"/>
        </w:rPr>
      </w:pPr>
      <w:r w:rsidRPr="0053310E">
        <w:rPr>
          <w:rFonts w:ascii="Arial" w:hAnsi="Arial" w:cs="Arial"/>
        </w:rPr>
        <w:t xml:space="preserve">Delegation of </w:t>
      </w:r>
      <w:r w:rsidR="004971DC" w:rsidRPr="0053310E">
        <w:rPr>
          <w:rFonts w:ascii="Arial" w:hAnsi="Arial" w:cs="Arial"/>
        </w:rPr>
        <w:t>A</w:t>
      </w:r>
      <w:r w:rsidRPr="0053310E">
        <w:rPr>
          <w:rFonts w:ascii="Arial" w:hAnsi="Arial" w:cs="Arial"/>
        </w:rPr>
        <w:t>uthority</w:t>
      </w:r>
    </w:p>
    <w:p w14:paraId="3C3D0A64" w14:textId="77777777" w:rsidR="00CE5C22" w:rsidRPr="0053310E" w:rsidRDefault="00CE5C22">
      <w:pPr>
        <w:pStyle w:val="Body"/>
        <w:rPr>
          <w:rFonts w:ascii="Arial" w:hAnsi="Arial" w:cs="Arial"/>
        </w:rPr>
      </w:pPr>
    </w:p>
    <w:p w14:paraId="4FABD7AE" w14:textId="474F26C0" w:rsidR="00F31AAB" w:rsidRPr="0053310E" w:rsidRDefault="00F31AAB" w:rsidP="00F31AAB">
      <w:pPr>
        <w:pStyle w:val="Body"/>
        <w:numPr>
          <w:ilvl w:val="0"/>
          <w:numId w:val="10"/>
        </w:numPr>
        <w:jc w:val="both"/>
        <w:rPr>
          <w:rFonts w:ascii="Arial" w:hAnsi="Arial" w:cs="Arial"/>
        </w:rPr>
      </w:pPr>
      <w:r w:rsidRPr="0053310E">
        <w:rPr>
          <w:rFonts w:ascii="Arial" w:hAnsi="Arial" w:cs="Arial"/>
        </w:rPr>
        <w:t>Ensuring the clear division of responsibilities between the leadership of the Board and the executive leadership of the Society’s business;</w:t>
      </w:r>
    </w:p>
    <w:p w14:paraId="443BCBD6" w14:textId="77777777" w:rsidR="00F31AAB" w:rsidRPr="0053310E" w:rsidRDefault="00F31AAB" w:rsidP="00F31AAB">
      <w:pPr>
        <w:pStyle w:val="Body"/>
        <w:ind w:left="720"/>
        <w:jc w:val="both"/>
        <w:rPr>
          <w:rFonts w:ascii="Arial" w:hAnsi="Arial" w:cs="Arial"/>
        </w:rPr>
      </w:pPr>
    </w:p>
    <w:p w14:paraId="0CC4631E" w14:textId="43B290A1" w:rsidR="00CE5C22" w:rsidRPr="0053310E" w:rsidRDefault="00D1704D" w:rsidP="004971DC">
      <w:pPr>
        <w:pStyle w:val="Body"/>
        <w:numPr>
          <w:ilvl w:val="0"/>
          <w:numId w:val="10"/>
        </w:numPr>
        <w:jc w:val="both"/>
        <w:rPr>
          <w:rFonts w:ascii="Arial" w:hAnsi="Arial" w:cs="Arial"/>
        </w:rPr>
      </w:pPr>
      <w:r w:rsidRPr="0053310E">
        <w:rPr>
          <w:rFonts w:ascii="Arial" w:hAnsi="Arial" w:cs="Arial"/>
        </w:rPr>
        <w:t>The division of responsibilities between the chairman, chief executive, which should be clearly established, set out in writing and agreed by the Board</w:t>
      </w:r>
      <w:r w:rsidR="004971DC" w:rsidRPr="0053310E">
        <w:rPr>
          <w:rFonts w:ascii="Arial" w:hAnsi="Arial" w:cs="Arial"/>
        </w:rPr>
        <w:t>;</w:t>
      </w:r>
    </w:p>
    <w:p w14:paraId="34634AA1" w14:textId="77777777" w:rsidR="00F31AAB" w:rsidRPr="0053310E" w:rsidRDefault="00F31AAB" w:rsidP="00F31AAB">
      <w:pPr>
        <w:pStyle w:val="Body"/>
        <w:ind w:left="720"/>
        <w:jc w:val="both"/>
        <w:rPr>
          <w:rFonts w:ascii="Arial" w:hAnsi="Arial" w:cs="Arial"/>
        </w:rPr>
      </w:pPr>
    </w:p>
    <w:p w14:paraId="50F455A3" w14:textId="176F9464" w:rsidR="00F31AAB" w:rsidRPr="0053310E" w:rsidRDefault="00F31AAB" w:rsidP="004971DC">
      <w:pPr>
        <w:pStyle w:val="Body"/>
        <w:numPr>
          <w:ilvl w:val="0"/>
          <w:numId w:val="10"/>
        </w:numPr>
        <w:jc w:val="both"/>
        <w:rPr>
          <w:rFonts w:ascii="Arial" w:hAnsi="Arial" w:cs="Arial"/>
        </w:rPr>
      </w:pPr>
      <w:r w:rsidRPr="0053310E">
        <w:rPr>
          <w:rFonts w:ascii="Arial" w:hAnsi="Arial" w:cs="Arial"/>
        </w:rPr>
        <w:t>The responsibilities of the Senior independent Director;</w:t>
      </w:r>
    </w:p>
    <w:p w14:paraId="651B1FA2" w14:textId="77777777" w:rsidR="004971DC" w:rsidRPr="0053310E" w:rsidRDefault="004971DC" w:rsidP="004971DC">
      <w:pPr>
        <w:pStyle w:val="Body"/>
        <w:ind w:left="720"/>
        <w:jc w:val="both"/>
        <w:rPr>
          <w:rFonts w:ascii="Arial" w:hAnsi="Arial" w:cs="Arial"/>
          <w:sz w:val="16"/>
          <w:szCs w:val="16"/>
        </w:rPr>
      </w:pPr>
    </w:p>
    <w:p w14:paraId="5C996A5C" w14:textId="77777777" w:rsidR="00CE5C22" w:rsidRPr="0053310E" w:rsidRDefault="004971DC" w:rsidP="004971DC">
      <w:pPr>
        <w:pStyle w:val="Body"/>
        <w:numPr>
          <w:ilvl w:val="0"/>
          <w:numId w:val="10"/>
        </w:numPr>
        <w:jc w:val="both"/>
        <w:rPr>
          <w:rFonts w:ascii="Arial" w:hAnsi="Arial" w:cs="Arial"/>
        </w:rPr>
      </w:pPr>
      <w:r w:rsidRPr="0053310E">
        <w:rPr>
          <w:rFonts w:ascii="Arial" w:hAnsi="Arial" w:cs="Arial"/>
        </w:rPr>
        <w:t>A</w:t>
      </w:r>
      <w:r w:rsidR="00D1704D" w:rsidRPr="0053310E">
        <w:rPr>
          <w:rFonts w:ascii="Arial" w:hAnsi="Arial" w:cs="Arial"/>
        </w:rPr>
        <w:t>pproval of the delegated levels of authority</w:t>
      </w:r>
      <w:r w:rsidRPr="0053310E">
        <w:rPr>
          <w:rFonts w:ascii="Arial" w:hAnsi="Arial" w:cs="Arial"/>
        </w:rPr>
        <w:t>;</w:t>
      </w:r>
    </w:p>
    <w:p w14:paraId="04922377" w14:textId="77777777" w:rsidR="00BD494D" w:rsidRPr="0053310E" w:rsidRDefault="00BD494D" w:rsidP="00BD494D">
      <w:pPr>
        <w:pStyle w:val="Body"/>
        <w:jc w:val="both"/>
        <w:rPr>
          <w:rFonts w:ascii="Arial" w:hAnsi="Arial" w:cs="Arial"/>
          <w:sz w:val="16"/>
          <w:szCs w:val="16"/>
        </w:rPr>
      </w:pPr>
    </w:p>
    <w:p w14:paraId="7567501D" w14:textId="77777777" w:rsidR="00CE5C22" w:rsidRPr="0053310E" w:rsidRDefault="004971DC" w:rsidP="004971DC">
      <w:pPr>
        <w:pStyle w:val="Body"/>
        <w:numPr>
          <w:ilvl w:val="0"/>
          <w:numId w:val="10"/>
        </w:numPr>
        <w:jc w:val="both"/>
        <w:rPr>
          <w:rFonts w:ascii="Arial" w:hAnsi="Arial" w:cs="Arial"/>
        </w:rPr>
      </w:pPr>
      <w:r w:rsidRPr="0053310E">
        <w:rPr>
          <w:rFonts w:ascii="Arial" w:hAnsi="Arial" w:cs="Arial"/>
        </w:rPr>
        <w:t>E</w:t>
      </w:r>
      <w:r w:rsidR="00D1704D" w:rsidRPr="0053310E">
        <w:rPr>
          <w:rFonts w:ascii="Arial" w:hAnsi="Arial" w:cs="Arial"/>
        </w:rPr>
        <w:t>stablishing Board Committees and their terms of reference, and approving material changes thereto;</w:t>
      </w:r>
    </w:p>
    <w:p w14:paraId="1779581B" w14:textId="77777777" w:rsidR="00BD494D" w:rsidRPr="0053310E" w:rsidRDefault="00BD494D" w:rsidP="00356760">
      <w:pPr>
        <w:pStyle w:val="Body"/>
        <w:jc w:val="both"/>
        <w:rPr>
          <w:rFonts w:ascii="Arial" w:hAnsi="Arial" w:cs="Arial"/>
          <w:sz w:val="16"/>
          <w:szCs w:val="16"/>
        </w:rPr>
      </w:pPr>
    </w:p>
    <w:p w14:paraId="2535C91F" w14:textId="14047AE8" w:rsidR="00CE5C22" w:rsidRPr="0053310E" w:rsidRDefault="004971DC" w:rsidP="004971DC">
      <w:pPr>
        <w:pStyle w:val="Body"/>
        <w:numPr>
          <w:ilvl w:val="0"/>
          <w:numId w:val="10"/>
        </w:numPr>
        <w:jc w:val="both"/>
        <w:rPr>
          <w:rFonts w:ascii="Arial" w:hAnsi="Arial" w:cs="Arial"/>
        </w:rPr>
      </w:pPr>
      <w:r w:rsidRPr="0053310E">
        <w:rPr>
          <w:rFonts w:ascii="Arial" w:hAnsi="Arial" w:cs="Arial"/>
        </w:rPr>
        <w:t>R</w:t>
      </w:r>
      <w:r w:rsidR="00D1704D" w:rsidRPr="0053310E">
        <w:rPr>
          <w:rFonts w:ascii="Arial" w:hAnsi="Arial" w:cs="Arial"/>
        </w:rPr>
        <w:t xml:space="preserve">eceiving reports from </w:t>
      </w:r>
      <w:r w:rsidR="007673B9" w:rsidRPr="0053310E">
        <w:rPr>
          <w:rFonts w:ascii="Arial" w:hAnsi="Arial" w:cs="Arial"/>
        </w:rPr>
        <w:t>B</w:t>
      </w:r>
      <w:r w:rsidR="00D1704D" w:rsidRPr="0053310E">
        <w:rPr>
          <w:rFonts w:ascii="Arial" w:hAnsi="Arial" w:cs="Arial"/>
        </w:rPr>
        <w:t>oard committees on their activities</w:t>
      </w:r>
      <w:r w:rsidR="007673B9" w:rsidRPr="0053310E">
        <w:rPr>
          <w:rFonts w:ascii="Arial" w:hAnsi="Arial" w:cs="Arial"/>
        </w:rPr>
        <w:t>.</w:t>
      </w:r>
    </w:p>
    <w:p w14:paraId="1B715E6A" w14:textId="77777777" w:rsidR="00CE5C22" w:rsidRPr="0053310E" w:rsidRDefault="00CE5C22">
      <w:pPr>
        <w:pStyle w:val="Body"/>
        <w:rPr>
          <w:rFonts w:ascii="Arial" w:hAnsi="Arial" w:cs="Arial"/>
        </w:rPr>
      </w:pPr>
    </w:p>
    <w:p w14:paraId="673FCC2A" w14:textId="77777777" w:rsidR="00CE5C22" w:rsidRPr="0053310E" w:rsidRDefault="00D1704D" w:rsidP="00EA6390">
      <w:pPr>
        <w:pStyle w:val="Body"/>
        <w:numPr>
          <w:ilvl w:val="0"/>
          <w:numId w:val="1"/>
        </w:numPr>
        <w:rPr>
          <w:rFonts w:ascii="Arial" w:hAnsi="Arial" w:cs="Arial"/>
        </w:rPr>
      </w:pPr>
      <w:r w:rsidRPr="0053310E">
        <w:rPr>
          <w:rFonts w:ascii="Arial" w:hAnsi="Arial" w:cs="Arial"/>
        </w:rPr>
        <w:t>Corporate Governance matters</w:t>
      </w:r>
    </w:p>
    <w:p w14:paraId="1588684A" w14:textId="77777777" w:rsidR="00CE5C22" w:rsidRPr="0053310E" w:rsidRDefault="00CE5C22">
      <w:pPr>
        <w:pStyle w:val="Body"/>
        <w:rPr>
          <w:rFonts w:ascii="Arial" w:hAnsi="Arial" w:cs="Arial"/>
          <w:sz w:val="16"/>
          <w:szCs w:val="16"/>
        </w:rPr>
      </w:pPr>
    </w:p>
    <w:p w14:paraId="2D158A1E" w14:textId="5A5DDA32" w:rsidR="00CE5C22" w:rsidRPr="0053310E" w:rsidRDefault="00D1704D" w:rsidP="00000AD8">
      <w:pPr>
        <w:pStyle w:val="Body"/>
        <w:numPr>
          <w:ilvl w:val="0"/>
          <w:numId w:val="11"/>
        </w:numPr>
        <w:jc w:val="both"/>
        <w:rPr>
          <w:rFonts w:ascii="Arial" w:hAnsi="Arial" w:cs="Arial"/>
        </w:rPr>
      </w:pPr>
      <w:r w:rsidRPr="0053310E">
        <w:rPr>
          <w:rFonts w:ascii="Arial" w:hAnsi="Arial" w:cs="Arial"/>
        </w:rPr>
        <w:t>Undertaking a formal and rigorous annual review of its own performance, that of its committees</w:t>
      </w:r>
      <w:r w:rsidR="00C933FC" w:rsidRPr="0053310E">
        <w:rPr>
          <w:rFonts w:ascii="Arial" w:hAnsi="Arial" w:cs="Arial"/>
        </w:rPr>
        <w:t>, the chair</w:t>
      </w:r>
      <w:r w:rsidRPr="0053310E">
        <w:rPr>
          <w:rFonts w:ascii="Arial" w:hAnsi="Arial" w:cs="Arial"/>
        </w:rPr>
        <w:t xml:space="preserve"> and individual directors, and the division of responsibilities</w:t>
      </w:r>
      <w:r w:rsidR="00F31AAB" w:rsidRPr="0053310E">
        <w:rPr>
          <w:rFonts w:ascii="Arial" w:hAnsi="Arial" w:cs="Arial"/>
        </w:rPr>
        <w:t xml:space="preserve"> giving consideration to its composition, diversity and how effectively members work together to achieve objectives</w:t>
      </w:r>
      <w:r w:rsidR="00000AD8" w:rsidRPr="0053310E">
        <w:rPr>
          <w:rFonts w:ascii="Arial" w:hAnsi="Arial" w:cs="Arial"/>
        </w:rPr>
        <w:t>;</w:t>
      </w:r>
    </w:p>
    <w:p w14:paraId="2E607352" w14:textId="77777777" w:rsidR="00A11AA2" w:rsidRPr="0053310E" w:rsidRDefault="00A11AA2" w:rsidP="00A11AA2">
      <w:pPr>
        <w:pStyle w:val="Body"/>
        <w:ind w:left="720"/>
        <w:jc w:val="both"/>
        <w:rPr>
          <w:rFonts w:ascii="Arial" w:hAnsi="Arial" w:cs="Arial"/>
          <w:sz w:val="16"/>
          <w:szCs w:val="16"/>
        </w:rPr>
      </w:pPr>
    </w:p>
    <w:p w14:paraId="4534E323" w14:textId="77777777" w:rsidR="00CE5C22" w:rsidRPr="0053310E" w:rsidRDefault="00000AD8" w:rsidP="00000AD8">
      <w:pPr>
        <w:pStyle w:val="Body"/>
        <w:numPr>
          <w:ilvl w:val="0"/>
          <w:numId w:val="11"/>
        </w:numPr>
        <w:jc w:val="both"/>
        <w:rPr>
          <w:rFonts w:ascii="Arial" w:hAnsi="Arial" w:cs="Arial"/>
        </w:rPr>
      </w:pPr>
      <w:r w:rsidRPr="0053310E">
        <w:rPr>
          <w:rFonts w:ascii="Arial" w:hAnsi="Arial" w:cs="Arial"/>
        </w:rPr>
        <w:t>D</w:t>
      </w:r>
      <w:r w:rsidR="00D1704D" w:rsidRPr="0053310E">
        <w:rPr>
          <w:rFonts w:ascii="Arial" w:hAnsi="Arial" w:cs="Arial"/>
        </w:rPr>
        <w:t>etermining the independence of non-executive directors in light of their character, judgement and relationships</w:t>
      </w:r>
      <w:r w:rsidRPr="0053310E">
        <w:rPr>
          <w:rFonts w:ascii="Arial" w:hAnsi="Arial" w:cs="Arial"/>
        </w:rPr>
        <w:t>;</w:t>
      </w:r>
    </w:p>
    <w:p w14:paraId="18FA8118" w14:textId="77777777" w:rsidR="00A11AA2" w:rsidRPr="0053310E" w:rsidRDefault="00A11AA2" w:rsidP="00A11AA2">
      <w:pPr>
        <w:pStyle w:val="Body"/>
        <w:jc w:val="both"/>
        <w:rPr>
          <w:rFonts w:ascii="Arial" w:hAnsi="Arial" w:cs="Arial"/>
          <w:sz w:val="16"/>
          <w:szCs w:val="16"/>
        </w:rPr>
      </w:pPr>
    </w:p>
    <w:p w14:paraId="5D374537" w14:textId="50EE494E" w:rsidR="00CE5C22" w:rsidRPr="0053310E" w:rsidRDefault="00000AD8" w:rsidP="00000AD8">
      <w:pPr>
        <w:pStyle w:val="Body"/>
        <w:numPr>
          <w:ilvl w:val="0"/>
          <w:numId w:val="11"/>
        </w:numPr>
        <w:jc w:val="both"/>
        <w:rPr>
          <w:rFonts w:ascii="Arial" w:hAnsi="Arial" w:cs="Arial"/>
        </w:rPr>
      </w:pPr>
      <w:r w:rsidRPr="0053310E">
        <w:rPr>
          <w:rFonts w:ascii="Arial" w:hAnsi="Arial" w:cs="Arial"/>
        </w:rPr>
        <w:lastRenderedPageBreak/>
        <w:t>C</w:t>
      </w:r>
      <w:r w:rsidR="00D1704D" w:rsidRPr="0053310E">
        <w:rPr>
          <w:rFonts w:ascii="Arial" w:hAnsi="Arial" w:cs="Arial"/>
        </w:rPr>
        <w:t xml:space="preserve">onsidering the balance of interests between members, </w:t>
      </w:r>
      <w:r w:rsidR="00E27894" w:rsidRPr="0053310E">
        <w:rPr>
          <w:rFonts w:ascii="Arial" w:hAnsi="Arial" w:cs="Arial"/>
        </w:rPr>
        <w:t>the workforce</w:t>
      </w:r>
      <w:r w:rsidR="00D1704D" w:rsidRPr="0053310E">
        <w:rPr>
          <w:rFonts w:ascii="Arial" w:hAnsi="Arial" w:cs="Arial"/>
        </w:rPr>
        <w:t xml:space="preserve"> and the community</w:t>
      </w:r>
      <w:r w:rsidR="005948E4" w:rsidRPr="0053310E">
        <w:rPr>
          <w:rFonts w:ascii="Arial" w:hAnsi="Arial" w:cs="Arial"/>
        </w:rPr>
        <w:t xml:space="preserve"> as well as wider stakeholder groups</w:t>
      </w:r>
      <w:r w:rsidRPr="0053310E">
        <w:rPr>
          <w:rFonts w:ascii="Arial" w:hAnsi="Arial" w:cs="Arial"/>
        </w:rPr>
        <w:t>;</w:t>
      </w:r>
    </w:p>
    <w:p w14:paraId="607F18EA" w14:textId="77777777" w:rsidR="00EA54FC" w:rsidRPr="0053310E" w:rsidRDefault="00EA54FC" w:rsidP="00EA54FC">
      <w:pPr>
        <w:pStyle w:val="Body"/>
        <w:ind w:left="720"/>
        <w:jc w:val="both"/>
        <w:rPr>
          <w:rFonts w:ascii="Arial" w:hAnsi="Arial" w:cs="Arial"/>
        </w:rPr>
      </w:pPr>
    </w:p>
    <w:p w14:paraId="3395AC4B" w14:textId="0EB85700" w:rsidR="00EA54FC" w:rsidRPr="0053310E" w:rsidRDefault="00EA54FC" w:rsidP="00EA54FC">
      <w:pPr>
        <w:pStyle w:val="Body"/>
        <w:numPr>
          <w:ilvl w:val="0"/>
          <w:numId w:val="11"/>
        </w:numPr>
        <w:jc w:val="both"/>
        <w:rPr>
          <w:rFonts w:ascii="Arial" w:hAnsi="Arial" w:cs="Arial"/>
        </w:rPr>
      </w:pPr>
      <w:r w:rsidRPr="0053310E">
        <w:rPr>
          <w:rFonts w:ascii="Arial" w:hAnsi="Arial" w:cs="Arial"/>
        </w:rPr>
        <w:t>Review of the Society’s overall corporate governance arrangements;</w:t>
      </w:r>
    </w:p>
    <w:p w14:paraId="2C674478" w14:textId="77777777" w:rsidR="00A11AA2" w:rsidRPr="0053310E" w:rsidRDefault="00A11AA2" w:rsidP="00A11AA2">
      <w:pPr>
        <w:pStyle w:val="Body"/>
        <w:jc w:val="both"/>
        <w:rPr>
          <w:rFonts w:ascii="Arial" w:hAnsi="Arial" w:cs="Arial"/>
          <w:sz w:val="16"/>
          <w:szCs w:val="16"/>
        </w:rPr>
      </w:pPr>
    </w:p>
    <w:p w14:paraId="10BA823E" w14:textId="107CA8E5" w:rsidR="00CE5C22" w:rsidRPr="0053310E" w:rsidRDefault="00000AD8" w:rsidP="00000AD8">
      <w:pPr>
        <w:pStyle w:val="Body"/>
        <w:numPr>
          <w:ilvl w:val="0"/>
          <w:numId w:val="11"/>
        </w:numPr>
        <w:jc w:val="both"/>
        <w:rPr>
          <w:rFonts w:ascii="Arial" w:hAnsi="Arial" w:cs="Arial"/>
        </w:rPr>
      </w:pPr>
      <w:r w:rsidRPr="0053310E">
        <w:rPr>
          <w:rFonts w:ascii="Arial" w:hAnsi="Arial" w:cs="Arial"/>
        </w:rPr>
        <w:t>R</w:t>
      </w:r>
      <w:r w:rsidR="00D1704D" w:rsidRPr="0053310E">
        <w:rPr>
          <w:rFonts w:ascii="Arial" w:hAnsi="Arial" w:cs="Arial"/>
        </w:rPr>
        <w:t>eceiving reports on the views of the Society’s members to ensure that they are communicated to the Board as a whole</w:t>
      </w:r>
      <w:r w:rsidR="00F31AAB" w:rsidRPr="0053310E">
        <w:rPr>
          <w:rFonts w:ascii="Arial" w:hAnsi="Arial" w:cs="Arial"/>
        </w:rPr>
        <w:t>;</w:t>
      </w:r>
    </w:p>
    <w:p w14:paraId="19680F4B" w14:textId="77777777" w:rsidR="00F31AAB" w:rsidRPr="0053310E" w:rsidRDefault="00F31AAB" w:rsidP="00F31AAB">
      <w:pPr>
        <w:pStyle w:val="Body"/>
        <w:ind w:left="720"/>
        <w:jc w:val="both"/>
        <w:rPr>
          <w:rFonts w:ascii="Arial" w:hAnsi="Arial" w:cs="Arial"/>
        </w:rPr>
      </w:pPr>
    </w:p>
    <w:p w14:paraId="6AC6B197" w14:textId="2D1C19B9" w:rsidR="00F31AAB" w:rsidRPr="0053310E" w:rsidRDefault="00F31AAB" w:rsidP="00000AD8">
      <w:pPr>
        <w:pStyle w:val="Body"/>
        <w:numPr>
          <w:ilvl w:val="0"/>
          <w:numId w:val="11"/>
        </w:numPr>
        <w:jc w:val="both"/>
        <w:rPr>
          <w:rFonts w:ascii="Arial" w:hAnsi="Arial" w:cs="Arial"/>
        </w:rPr>
      </w:pPr>
      <w:r w:rsidRPr="0053310E">
        <w:rPr>
          <w:rFonts w:ascii="Arial" w:hAnsi="Arial" w:cs="Arial"/>
        </w:rPr>
        <w:t>Review and approval of additional external appointments by members of the Board in advance</w:t>
      </w:r>
      <w:r w:rsidR="006742CC" w:rsidRPr="0053310E">
        <w:rPr>
          <w:rFonts w:ascii="Arial" w:hAnsi="Arial" w:cs="Arial"/>
        </w:rPr>
        <w:t>.</w:t>
      </w:r>
    </w:p>
    <w:p w14:paraId="2A139C23" w14:textId="77777777" w:rsidR="006742CC" w:rsidRPr="0053310E" w:rsidRDefault="006742CC" w:rsidP="006742CC">
      <w:pPr>
        <w:pStyle w:val="Body"/>
        <w:ind w:left="720"/>
        <w:jc w:val="both"/>
        <w:rPr>
          <w:rFonts w:ascii="Arial" w:hAnsi="Arial" w:cs="Arial"/>
        </w:rPr>
      </w:pPr>
    </w:p>
    <w:p w14:paraId="068F1487" w14:textId="77777777" w:rsidR="007B0D9F" w:rsidRPr="0053310E" w:rsidRDefault="007B0D9F" w:rsidP="007B0D9F">
      <w:pPr>
        <w:widowControl w:val="0"/>
        <w:numPr>
          <w:ilvl w:val="0"/>
          <w:numId w:val="11"/>
        </w:numPr>
        <w:jc w:val="both"/>
        <w:rPr>
          <w:rFonts w:ascii="Arial" w:hAnsi="Arial" w:cs="Arial"/>
          <w:sz w:val="22"/>
          <w:szCs w:val="22"/>
        </w:rPr>
      </w:pPr>
      <w:r w:rsidRPr="0053310E">
        <w:rPr>
          <w:rFonts w:ascii="Arial" w:hAnsi="Arial" w:cs="Arial"/>
          <w:sz w:val="22"/>
          <w:szCs w:val="22"/>
        </w:rPr>
        <w:t xml:space="preserve">review and approve the schedule of Board and Committee activities; </w:t>
      </w:r>
    </w:p>
    <w:p w14:paraId="3A132914" w14:textId="77777777" w:rsidR="007B0D9F" w:rsidRPr="0053310E" w:rsidRDefault="007B0D9F" w:rsidP="007B0D9F">
      <w:pPr>
        <w:widowControl w:val="0"/>
        <w:jc w:val="both"/>
        <w:rPr>
          <w:rFonts w:ascii="Arial" w:hAnsi="Arial" w:cs="Arial"/>
          <w:sz w:val="22"/>
          <w:szCs w:val="22"/>
        </w:rPr>
      </w:pPr>
    </w:p>
    <w:p w14:paraId="0C1BBA49" w14:textId="77777777" w:rsidR="007B0D9F" w:rsidRPr="0053310E" w:rsidRDefault="007B0D9F" w:rsidP="007B0D9F">
      <w:pPr>
        <w:widowControl w:val="0"/>
        <w:numPr>
          <w:ilvl w:val="0"/>
          <w:numId w:val="11"/>
        </w:numPr>
        <w:jc w:val="both"/>
        <w:rPr>
          <w:rFonts w:ascii="Arial" w:hAnsi="Arial" w:cs="Arial"/>
          <w:sz w:val="22"/>
          <w:szCs w:val="22"/>
        </w:rPr>
      </w:pPr>
      <w:r w:rsidRPr="0053310E">
        <w:rPr>
          <w:rFonts w:ascii="Arial" w:hAnsi="Arial" w:cs="Arial"/>
          <w:sz w:val="22"/>
          <w:szCs w:val="22"/>
        </w:rPr>
        <w:t>review annually matters reserved to the Board, matters delegated to management and requirements for management to escalate matters to the Board;</w:t>
      </w:r>
    </w:p>
    <w:p w14:paraId="1EC64A14" w14:textId="77777777" w:rsidR="007B0D9F" w:rsidRPr="0053310E" w:rsidRDefault="007B0D9F" w:rsidP="007B0D9F">
      <w:pPr>
        <w:widowControl w:val="0"/>
        <w:ind w:left="567"/>
        <w:jc w:val="both"/>
        <w:rPr>
          <w:rFonts w:ascii="Arial" w:hAnsi="Arial" w:cs="Arial"/>
          <w:sz w:val="22"/>
          <w:szCs w:val="22"/>
        </w:rPr>
      </w:pPr>
    </w:p>
    <w:p w14:paraId="3814A6A6" w14:textId="77777777" w:rsidR="007B0D9F" w:rsidRPr="0053310E" w:rsidRDefault="007B0D9F" w:rsidP="007B0D9F">
      <w:pPr>
        <w:widowControl w:val="0"/>
        <w:numPr>
          <w:ilvl w:val="0"/>
          <w:numId w:val="11"/>
        </w:numPr>
        <w:jc w:val="both"/>
        <w:rPr>
          <w:rFonts w:ascii="Arial" w:hAnsi="Arial" w:cs="Arial"/>
          <w:sz w:val="22"/>
          <w:szCs w:val="22"/>
        </w:rPr>
      </w:pPr>
      <w:r w:rsidRPr="0053310E">
        <w:rPr>
          <w:rFonts w:ascii="Arial" w:hAnsi="Arial" w:cs="Arial"/>
          <w:sz w:val="22"/>
          <w:szCs w:val="22"/>
        </w:rPr>
        <w:t>monitor trends and developments in corporate governance and best practice and review annually the Society’s compliance with the UK Corporate Governance Code and regulatory requirements in relation to corporate governance;</w:t>
      </w:r>
    </w:p>
    <w:p w14:paraId="1F27AB97" w14:textId="77777777" w:rsidR="007B0D9F" w:rsidRPr="0053310E" w:rsidRDefault="007B0D9F" w:rsidP="007B0D9F">
      <w:pPr>
        <w:widowControl w:val="0"/>
        <w:jc w:val="both"/>
        <w:rPr>
          <w:rFonts w:ascii="Arial" w:hAnsi="Arial" w:cs="Arial"/>
          <w:sz w:val="22"/>
          <w:szCs w:val="22"/>
        </w:rPr>
      </w:pPr>
    </w:p>
    <w:p w14:paraId="5E234569" w14:textId="77777777" w:rsidR="00CE5C22" w:rsidRPr="0053310E" w:rsidRDefault="00CE5C22">
      <w:pPr>
        <w:pStyle w:val="Body"/>
        <w:rPr>
          <w:rFonts w:ascii="Arial" w:hAnsi="Arial" w:cs="Arial"/>
        </w:rPr>
      </w:pPr>
    </w:p>
    <w:p w14:paraId="0A2AB287" w14:textId="77777777" w:rsidR="00000AD8" w:rsidRPr="0053310E" w:rsidRDefault="00000AD8" w:rsidP="00000AD8">
      <w:pPr>
        <w:pStyle w:val="Body"/>
        <w:numPr>
          <w:ilvl w:val="0"/>
          <w:numId w:val="1"/>
        </w:numPr>
        <w:rPr>
          <w:rFonts w:ascii="Arial" w:hAnsi="Arial" w:cs="Arial"/>
        </w:rPr>
      </w:pPr>
      <w:r w:rsidRPr="0053310E">
        <w:rPr>
          <w:rFonts w:ascii="Arial" w:hAnsi="Arial" w:cs="Arial"/>
        </w:rPr>
        <w:t>Policies and Other Key Documents</w:t>
      </w:r>
    </w:p>
    <w:p w14:paraId="230F8F4E" w14:textId="77777777" w:rsidR="00000AD8" w:rsidRPr="0053310E" w:rsidRDefault="00000AD8" w:rsidP="00000AD8">
      <w:pPr>
        <w:pStyle w:val="Body"/>
        <w:rPr>
          <w:rFonts w:ascii="Arial" w:hAnsi="Arial" w:cs="Arial"/>
        </w:rPr>
      </w:pPr>
    </w:p>
    <w:p w14:paraId="268583B6" w14:textId="6EA13F20" w:rsidR="003D3D81" w:rsidRPr="0053310E" w:rsidRDefault="003D3D81" w:rsidP="003D3D81">
      <w:pPr>
        <w:pStyle w:val="Body"/>
        <w:ind w:left="360"/>
        <w:rPr>
          <w:rFonts w:ascii="Arial" w:hAnsi="Arial" w:cs="Arial"/>
        </w:rPr>
      </w:pPr>
      <w:r w:rsidRPr="0053310E">
        <w:rPr>
          <w:rFonts w:ascii="Arial" w:hAnsi="Arial" w:cs="Arial"/>
        </w:rPr>
        <w:t>The Board will note the Report from the Money Laundering Reporting Officer</w:t>
      </w:r>
      <w:r w:rsidR="007B0D9F" w:rsidRPr="0053310E">
        <w:rPr>
          <w:rFonts w:ascii="Arial" w:hAnsi="Arial" w:cs="Arial"/>
        </w:rPr>
        <w:t xml:space="preserve"> and </w:t>
      </w:r>
      <w:r w:rsidR="008A200B" w:rsidRPr="0053310E">
        <w:rPr>
          <w:rFonts w:ascii="Arial" w:hAnsi="Arial" w:cs="Arial"/>
        </w:rPr>
        <w:t>reports raising concerns from the workforce</w:t>
      </w:r>
      <w:r w:rsidRPr="0053310E">
        <w:rPr>
          <w:rFonts w:ascii="Arial" w:hAnsi="Arial" w:cs="Arial"/>
        </w:rPr>
        <w:t xml:space="preserve">. </w:t>
      </w:r>
    </w:p>
    <w:p w14:paraId="6B1AAA4B" w14:textId="77777777" w:rsidR="003D3D81" w:rsidRPr="0053310E" w:rsidRDefault="003D3D81" w:rsidP="003D3D81">
      <w:pPr>
        <w:pStyle w:val="Body"/>
        <w:ind w:left="360"/>
        <w:rPr>
          <w:rFonts w:ascii="Arial" w:hAnsi="Arial" w:cs="Arial"/>
        </w:rPr>
      </w:pPr>
    </w:p>
    <w:p w14:paraId="26F967E6" w14:textId="77777777" w:rsidR="00CE5C22" w:rsidRPr="0053310E" w:rsidRDefault="00076C3B" w:rsidP="00076C3B">
      <w:pPr>
        <w:pStyle w:val="Body"/>
        <w:ind w:left="360"/>
        <w:rPr>
          <w:rFonts w:ascii="Arial" w:hAnsi="Arial" w:cs="Arial"/>
        </w:rPr>
      </w:pPr>
      <w:r w:rsidRPr="0053310E">
        <w:rPr>
          <w:rFonts w:ascii="Arial" w:hAnsi="Arial" w:cs="Arial"/>
        </w:rPr>
        <w:t>Approval of policies, including:</w:t>
      </w:r>
    </w:p>
    <w:p w14:paraId="49139DBF" w14:textId="77777777" w:rsidR="00A11AA2" w:rsidRPr="0053310E" w:rsidRDefault="00D1704D">
      <w:pPr>
        <w:pStyle w:val="Body"/>
        <w:rPr>
          <w:rFonts w:ascii="Arial" w:hAnsi="Arial" w:cs="Arial"/>
          <w:sz w:val="16"/>
          <w:szCs w:val="16"/>
        </w:rPr>
      </w:pPr>
      <w:r w:rsidRPr="0053310E">
        <w:rPr>
          <w:rFonts w:ascii="Arial" w:hAnsi="Arial" w:cs="Arial"/>
        </w:rPr>
        <w:tab/>
      </w:r>
    </w:p>
    <w:p w14:paraId="10979543" w14:textId="77777777" w:rsidR="00A11AA2" w:rsidRPr="0053310E" w:rsidRDefault="00D1704D" w:rsidP="00076C3B">
      <w:pPr>
        <w:pStyle w:val="Body"/>
        <w:numPr>
          <w:ilvl w:val="0"/>
          <w:numId w:val="13"/>
        </w:numPr>
        <w:rPr>
          <w:rFonts w:ascii="Arial" w:hAnsi="Arial" w:cs="Arial"/>
        </w:rPr>
      </w:pPr>
      <w:r w:rsidRPr="0053310E">
        <w:rPr>
          <w:rFonts w:ascii="Arial" w:hAnsi="Arial" w:cs="Arial"/>
        </w:rPr>
        <w:t>ICAAP</w:t>
      </w:r>
    </w:p>
    <w:p w14:paraId="2245DBE5" w14:textId="77777777" w:rsidR="00CE5C22" w:rsidRPr="0053310E" w:rsidRDefault="00076C3B" w:rsidP="00076C3B">
      <w:pPr>
        <w:pStyle w:val="Body"/>
        <w:numPr>
          <w:ilvl w:val="0"/>
          <w:numId w:val="13"/>
        </w:numPr>
        <w:rPr>
          <w:rFonts w:ascii="Arial" w:hAnsi="Arial" w:cs="Arial"/>
        </w:rPr>
      </w:pPr>
      <w:r w:rsidRPr="0053310E">
        <w:rPr>
          <w:rFonts w:ascii="Arial" w:hAnsi="Arial" w:cs="Arial"/>
        </w:rPr>
        <w:t>I</w:t>
      </w:r>
      <w:r w:rsidR="00D1704D" w:rsidRPr="0053310E">
        <w:rPr>
          <w:rFonts w:ascii="Arial" w:hAnsi="Arial" w:cs="Arial"/>
        </w:rPr>
        <w:t>LAAP</w:t>
      </w:r>
    </w:p>
    <w:p w14:paraId="6D11AEA4" w14:textId="77777777" w:rsidR="00CE5C22" w:rsidRPr="0053310E" w:rsidRDefault="00076C3B" w:rsidP="00076C3B">
      <w:pPr>
        <w:pStyle w:val="Body"/>
        <w:numPr>
          <w:ilvl w:val="0"/>
          <w:numId w:val="13"/>
        </w:numPr>
        <w:rPr>
          <w:rFonts w:ascii="Arial" w:hAnsi="Arial" w:cs="Arial"/>
        </w:rPr>
      </w:pPr>
      <w:r w:rsidRPr="0053310E">
        <w:rPr>
          <w:rFonts w:ascii="Arial" w:hAnsi="Arial" w:cs="Arial"/>
        </w:rPr>
        <w:t>R</w:t>
      </w:r>
      <w:r w:rsidR="00D1704D" w:rsidRPr="0053310E">
        <w:rPr>
          <w:rFonts w:ascii="Arial" w:hAnsi="Arial" w:cs="Arial"/>
        </w:rPr>
        <w:t>ecovery Plan</w:t>
      </w:r>
    </w:p>
    <w:p w14:paraId="5A65AA3C" w14:textId="77777777" w:rsidR="00CE5C22" w:rsidRPr="0053310E" w:rsidRDefault="00076C3B" w:rsidP="00076C3B">
      <w:pPr>
        <w:pStyle w:val="Body"/>
        <w:numPr>
          <w:ilvl w:val="0"/>
          <w:numId w:val="13"/>
        </w:numPr>
        <w:rPr>
          <w:rFonts w:ascii="Arial" w:hAnsi="Arial" w:cs="Arial"/>
        </w:rPr>
      </w:pPr>
      <w:r w:rsidRPr="0053310E">
        <w:rPr>
          <w:rFonts w:ascii="Arial" w:hAnsi="Arial" w:cs="Arial"/>
        </w:rPr>
        <w:t>R</w:t>
      </w:r>
      <w:r w:rsidR="00D1704D" w:rsidRPr="0053310E">
        <w:rPr>
          <w:rFonts w:ascii="Arial" w:hAnsi="Arial" w:cs="Arial"/>
        </w:rPr>
        <w:t>esolution Plan</w:t>
      </w:r>
    </w:p>
    <w:p w14:paraId="0940A5EE" w14:textId="77777777" w:rsidR="00CE5C22" w:rsidRPr="0053310E" w:rsidRDefault="00076C3B" w:rsidP="00076C3B">
      <w:pPr>
        <w:pStyle w:val="Body"/>
        <w:numPr>
          <w:ilvl w:val="0"/>
          <w:numId w:val="13"/>
        </w:numPr>
        <w:rPr>
          <w:rFonts w:ascii="Arial" w:hAnsi="Arial" w:cs="Arial"/>
        </w:rPr>
      </w:pPr>
      <w:r w:rsidRPr="0053310E">
        <w:rPr>
          <w:rFonts w:ascii="Arial" w:hAnsi="Arial" w:cs="Arial"/>
        </w:rPr>
        <w:t>R</w:t>
      </w:r>
      <w:r w:rsidR="00D1704D" w:rsidRPr="0053310E">
        <w:rPr>
          <w:rFonts w:ascii="Arial" w:hAnsi="Arial" w:cs="Arial"/>
        </w:rPr>
        <w:t>isk Management Framework</w:t>
      </w:r>
    </w:p>
    <w:p w14:paraId="102A3EAE" w14:textId="39D31FA0" w:rsidR="00CE5C22" w:rsidRPr="0053310E" w:rsidRDefault="00D1704D" w:rsidP="00076C3B">
      <w:pPr>
        <w:pStyle w:val="Body"/>
        <w:numPr>
          <w:ilvl w:val="0"/>
          <w:numId w:val="13"/>
        </w:numPr>
        <w:rPr>
          <w:rFonts w:ascii="Arial" w:hAnsi="Arial" w:cs="Arial"/>
        </w:rPr>
      </w:pPr>
      <w:r w:rsidRPr="0053310E">
        <w:rPr>
          <w:rFonts w:ascii="Arial" w:hAnsi="Arial" w:cs="Arial"/>
        </w:rPr>
        <w:t>Lending Policy</w:t>
      </w:r>
    </w:p>
    <w:p w14:paraId="3FB35AEC" w14:textId="77777777" w:rsidR="00CE5C22" w:rsidRPr="0053310E" w:rsidRDefault="00076C3B" w:rsidP="00076C3B">
      <w:pPr>
        <w:pStyle w:val="Body"/>
        <w:numPr>
          <w:ilvl w:val="0"/>
          <w:numId w:val="13"/>
        </w:numPr>
        <w:rPr>
          <w:rFonts w:ascii="Arial" w:hAnsi="Arial" w:cs="Arial"/>
        </w:rPr>
      </w:pPr>
      <w:r w:rsidRPr="0053310E">
        <w:rPr>
          <w:rFonts w:ascii="Arial" w:hAnsi="Arial" w:cs="Arial"/>
        </w:rPr>
        <w:t>T</w:t>
      </w:r>
      <w:r w:rsidR="00D1704D" w:rsidRPr="0053310E">
        <w:rPr>
          <w:rFonts w:ascii="Arial" w:hAnsi="Arial" w:cs="Arial"/>
        </w:rPr>
        <w:t>reasury Policy</w:t>
      </w:r>
    </w:p>
    <w:p w14:paraId="5EB3F509" w14:textId="77777777" w:rsidR="00CE5C22" w:rsidRPr="0053310E" w:rsidRDefault="00076C3B" w:rsidP="00076C3B">
      <w:pPr>
        <w:pStyle w:val="Body"/>
        <w:numPr>
          <w:ilvl w:val="0"/>
          <w:numId w:val="13"/>
        </w:numPr>
        <w:rPr>
          <w:rFonts w:ascii="Arial" w:hAnsi="Arial" w:cs="Arial"/>
        </w:rPr>
      </w:pPr>
      <w:r w:rsidRPr="0053310E">
        <w:rPr>
          <w:rFonts w:ascii="Arial" w:hAnsi="Arial" w:cs="Arial"/>
        </w:rPr>
        <w:t>F</w:t>
      </w:r>
      <w:r w:rsidR="00D1704D" w:rsidRPr="0053310E">
        <w:rPr>
          <w:rFonts w:ascii="Arial" w:hAnsi="Arial" w:cs="Arial"/>
        </w:rPr>
        <w:t>inancial Crime Policy (incorporating Anti-Bribery Policy)</w:t>
      </w:r>
    </w:p>
    <w:p w14:paraId="38CC4A4A" w14:textId="77777777" w:rsidR="00CE5C22" w:rsidRPr="0053310E" w:rsidRDefault="00CE5C22">
      <w:pPr>
        <w:pStyle w:val="Body"/>
        <w:rPr>
          <w:rFonts w:ascii="Arial" w:hAnsi="Arial" w:cs="Arial"/>
        </w:rPr>
      </w:pPr>
    </w:p>
    <w:p w14:paraId="104AC191" w14:textId="138FBB90" w:rsidR="00CE5C22" w:rsidRPr="0053310E" w:rsidRDefault="00D1704D" w:rsidP="00C3206C">
      <w:pPr>
        <w:pStyle w:val="Body"/>
        <w:ind w:left="360"/>
        <w:rPr>
          <w:rFonts w:ascii="Arial" w:hAnsi="Arial" w:cs="Arial"/>
        </w:rPr>
      </w:pPr>
      <w:r w:rsidRPr="0053310E">
        <w:rPr>
          <w:rFonts w:ascii="Arial" w:hAnsi="Arial" w:cs="Arial"/>
        </w:rPr>
        <w:t>On recommendation of the relevant Board committee</w:t>
      </w:r>
    </w:p>
    <w:p w14:paraId="1EF0927F" w14:textId="77777777" w:rsidR="00CE5C22" w:rsidRPr="0053310E" w:rsidRDefault="00CE5C22">
      <w:pPr>
        <w:pStyle w:val="Body"/>
        <w:rPr>
          <w:rFonts w:ascii="Arial" w:hAnsi="Arial" w:cs="Arial"/>
        </w:rPr>
      </w:pPr>
    </w:p>
    <w:p w14:paraId="0E30DC2B" w14:textId="77777777" w:rsidR="00CE5C22" w:rsidRPr="0053310E" w:rsidRDefault="00D1704D" w:rsidP="00A11AA2">
      <w:pPr>
        <w:pStyle w:val="Body"/>
        <w:numPr>
          <w:ilvl w:val="0"/>
          <w:numId w:val="1"/>
        </w:numPr>
        <w:rPr>
          <w:rFonts w:ascii="Arial" w:hAnsi="Arial" w:cs="Arial"/>
        </w:rPr>
      </w:pPr>
      <w:r w:rsidRPr="0053310E">
        <w:rPr>
          <w:rFonts w:ascii="Arial" w:hAnsi="Arial" w:cs="Arial"/>
        </w:rPr>
        <w:t>Other</w:t>
      </w:r>
    </w:p>
    <w:p w14:paraId="037B22C9" w14:textId="77777777" w:rsidR="00CE5C22" w:rsidRPr="0053310E" w:rsidRDefault="00CE5C22">
      <w:pPr>
        <w:pStyle w:val="Body"/>
        <w:rPr>
          <w:rFonts w:ascii="Arial" w:hAnsi="Arial" w:cs="Arial"/>
        </w:rPr>
      </w:pPr>
    </w:p>
    <w:p w14:paraId="25F21F3C" w14:textId="0018A3E3" w:rsidR="00CE5C22" w:rsidRPr="0053310E" w:rsidRDefault="00D1704D" w:rsidP="00047F90">
      <w:pPr>
        <w:pStyle w:val="Body"/>
        <w:numPr>
          <w:ilvl w:val="0"/>
          <w:numId w:val="12"/>
        </w:numPr>
        <w:jc w:val="both"/>
        <w:rPr>
          <w:rFonts w:ascii="Arial" w:hAnsi="Arial" w:cs="Arial"/>
        </w:rPr>
      </w:pPr>
      <w:r w:rsidRPr="0053310E">
        <w:rPr>
          <w:rFonts w:ascii="Arial" w:hAnsi="Arial" w:cs="Arial"/>
        </w:rPr>
        <w:t xml:space="preserve">Major changes to the rules of the </w:t>
      </w:r>
      <w:r w:rsidR="00A11AA2" w:rsidRPr="0053310E">
        <w:rPr>
          <w:rFonts w:ascii="Arial" w:hAnsi="Arial" w:cs="Arial"/>
        </w:rPr>
        <w:t>G</w:t>
      </w:r>
      <w:r w:rsidRPr="0053310E">
        <w:rPr>
          <w:rFonts w:ascii="Arial" w:hAnsi="Arial" w:cs="Arial"/>
        </w:rPr>
        <w:t>roup</w:t>
      </w:r>
      <w:r w:rsidR="00A11AA2" w:rsidRPr="0053310E">
        <w:rPr>
          <w:rFonts w:ascii="Arial" w:hAnsi="Arial" w:cs="Arial"/>
        </w:rPr>
        <w:t>’</w:t>
      </w:r>
      <w:r w:rsidRPr="0053310E">
        <w:rPr>
          <w:rFonts w:ascii="Arial" w:hAnsi="Arial" w:cs="Arial"/>
        </w:rPr>
        <w:t xml:space="preserve">s pension scheme, or changes of Society nominated </w:t>
      </w:r>
      <w:r w:rsidR="00A11AA2" w:rsidRPr="0053310E">
        <w:rPr>
          <w:rFonts w:ascii="Arial" w:hAnsi="Arial" w:cs="Arial"/>
        </w:rPr>
        <w:t>T</w:t>
      </w:r>
      <w:r w:rsidRPr="0053310E">
        <w:rPr>
          <w:rFonts w:ascii="Arial" w:hAnsi="Arial" w:cs="Arial"/>
        </w:rPr>
        <w:t>rustees.</w:t>
      </w:r>
    </w:p>
    <w:p w14:paraId="40300E16" w14:textId="77777777" w:rsidR="001C1C95" w:rsidRPr="0053310E" w:rsidRDefault="001C1C95" w:rsidP="00D122FE">
      <w:pPr>
        <w:pStyle w:val="Body"/>
        <w:jc w:val="both"/>
        <w:rPr>
          <w:rFonts w:ascii="Arial" w:hAnsi="Arial" w:cs="Arial"/>
        </w:rPr>
      </w:pPr>
    </w:p>
    <w:p w14:paraId="7E709803" w14:textId="6E4A64AA" w:rsidR="001C1C95" w:rsidRPr="0053310E" w:rsidRDefault="008C32AD" w:rsidP="00047F90">
      <w:pPr>
        <w:pStyle w:val="Body"/>
        <w:numPr>
          <w:ilvl w:val="0"/>
          <w:numId w:val="12"/>
        </w:numPr>
        <w:jc w:val="both"/>
        <w:rPr>
          <w:rFonts w:ascii="Arial" w:hAnsi="Arial" w:cs="Arial"/>
        </w:rPr>
      </w:pPr>
      <w:r w:rsidRPr="0053310E">
        <w:rPr>
          <w:rFonts w:ascii="Arial" w:hAnsi="Arial" w:cs="Arial"/>
          <w:lang w:val="en-GB"/>
        </w:rPr>
        <w:t>The Board powers expressly set out in the Rules, Memorandum, regulation and statute.</w:t>
      </w:r>
    </w:p>
    <w:p w14:paraId="54A50CB3" w14:textId="77777777" w:rsidR="00CE5C22" w:rsidRPr="008B3E87" w:rsidRDefault="00CE5C22">
      <w:pPr>
        <w:pStyle w:val="Body"/>
        <w:rPr>
          <w:rFonts w:ascii="Arial" w:hAnsi="Arial" w:cs="Arial"/>
        </w:rPr>
      </w:pPr>
    </w:p>
    <w:sectPr w:rsidR="00CE5C22" w:rsidRPr="008B3E87" w:rsidSect="00557A15">
      <w:headerReference w:type="default" r:id="rId8"/>
      <w:pgSz w:w="11906" w:h="16838"/>
      <w:pgMar w:top="720" w:right="1440" w:bottom="720" w:left="1440"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D458D" w14:textId="77777777" w:rsidR="003A0DFE" w:rsidRDefault="00D1704D">
      <w:r>
        <w:separator/>
      </w:r>
    </w:p>
  </w:endnote>
  <w:endnote w:type="continuationSeparator" w:id="0">
    <w:p w14:paraId="4CE946C1" w14:textId="77777777" w:rsidR="003A0DFE" w:rsidRDefault="00D1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2756F" w14:textId="77777777" w:rsidR="003A0DFE" w:rsidRDefault="00D1704D">
      <w:r>
        <w:separator/>
      </w:r>
    </w:p>
  </w:footnote>
  <w:footnote w:type="continuationSeparator" w:id="0">
    <w:p w14:paraId="4486168A" w14:textId="77777777" w:rsidR="003A0DFE" w:rsidRDefault="00D17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49B4" w14:textId="77777777" w:rsidR="00557A15" w:rsidRDefault="007A44CE" w:rsidP="007A44CE">
    <w:pPr>
      <w:pStyle w:val="Header"/>
      <w:jc w:val="right"/>
      <w:rPr>
        <w:rFonts w:ascii="Arial" w:hAnsi="Arial" w:cs="Arial"/>
      </w:rPr>
    </w:pPr>
    <w:r>
      <w:rPr>
        <w:noProof/>
        <w:lang w:val="en-GB" w:eastAsia="en-GB"/>
      </w:rPr>
      <w:drawing>
        <wp:anchor distT="0" distB="0" distL="114300" distR="114300" simplePos="0" relativeHeight="251659264" behindDoc="1" locked="0" layoutInCell="1" allowOverlap="1" wp14:anchorId="0258410A" wp14:editId="0EC3DD39">
          <wp:simplePos x="0" y="0"/>
          <wp:positionH relativeFrom="column">
            <wp:posOffset>3676650</wp:posOffset>
          </wp:positionH>
          <wp:positionV relativeFrom="paragraph">
            <wp:posOffset>-124460</wp:posOffset>
          </wp:positionV>
          <wp:extent cx="2002536" cy="4023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S Primary Logo - CMYK copy.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536" cy="402336"/>
                  </a:xfrm>
                  <a:prstGeom prst="rect">
                    <a:avLst/>
                  </a:prstGeom>
                </pic:spPr>
              </pic:pic>
            </a:graphicData>
          </a:graphic>
          <wp14:sizeRelH relativeFrom="margin">
            <wp14:pctWidth>0</wp14:pctWidth>
          </wp14:sizeRelH>
          <wp14:sizeRelV relativeFrom="margin">
            <wp14:pctHeight>0</wp14:pctHeight>
          </wp14:sizeRelV>
        </wp:anchor>
      </w:drawing>
    </w:r>
  </w:p>
  <w:p w14:paraId="1C3D3DC8" w14:textId="77777777" w:rsidR="00557A15" w:rsidRDefault="00557A15" w:rsidP="007A44CE">
    <w:pPr>
      <w:pStyle w:val="Header"/>
      <w:jc w:val="right"/>
      <w:rPr>
        <w:rFonts w:ascii="Arial" w:hAnsi="Arial" w:cs="Arial"/>
      </w:rPr>
    </w:pPr>
  </w:p>
  <w:p w14:paraId="7477EEC2" w14:textId="77777777" w:rsidR="00557A15" w:rsidRDefault="00557A15" w:rsidP="00557A15">
    <w:pPr>
      <w:pStyle w:val="Header"/>
      <w:jc w:val="center"/>
      <w:rPr>
        <w:rFonts w:ascii="Arial" w:hAnsi="Arial" w:cs="Arial"/>
      </w:rPr>
    </w:pPr>
  </w:p>
  <w:p w14:paraId="380F75CC" w14:textId="2AF19E9F" w:rsidR="00557A15" w:rsidRPr="007A44CE" w:rsidRDefault="00557A15" w:rsidP="00557A15">
    <w:pPr>
      <w:pStyle w:val="Header"/>
      <w:jc w:val="center"/>
      <w:rPr>
        <w:rFonts w:ascii="Arial" w:hAnsi="Arial" w:cs="Arial"/>
        <w:sz w:val="22"/>
        <w:szCs w:val="22"/>
      </w:rPr>
    </w:pPr>
    <w:r w:rsidRPr="007A44CE">
      <w:rPr>
        <w:rFonts w:ascii="Arial" w:hAnsi="Arial" w:cs="Arial"/>
        <w:sz w:val="22"/>
        <w:szCs w:val="22"/>
      </w:rPr>
      <w:t xml:space="preserve">Board Manual Section </w:t>
    </w:r>
    <w:r w:rsidR="003D3D81">
      <w:rPr>
        <w:rFonts w:ascii="Arial" w:hAnsi="Arial" w:cs="Arial"/>
        <w:sz w:val="22"/>
        <w:szCs w:val="22"/>
      </w:rPr>
      <w:t>2 (g)</w:t>
    </w:r>
    <w:r w:rsidRPr="007A44CE">
      <w:rPr>
        <w:rFonts w:ascii="Arial" w:hAnsi="Arial" w:cs="Arial"/>
        <w:sz w:val="22"/>
        <w:szCs w:val="22"/>
      </w:rPr>
      <w:t xml:space="preserve"> / </w:t>
    </w:r>
    <w:r w:rsidR="00B51E1B">
      <w:rPr>
        <w:rFonts w:ascii="Arial" w:hAnsi="Arial" w:cs="Arial"/>
        <w:sz w:val="22"/>
        <w:szCs w:val="22"/>
      </w:rPr>
      <w:t>November</w:t>
    </w:r>
    <w:r w:rsidR="00B208B4" w:rsidRPr="007A44CE">
      <w:rPr>
        <w:rFonts w:ascii="Arial" w:hAnsi="Arial" w:cs="Arial"/>
        <w:sz w:val="22"/>
        <w:szCs w:val="22"/>
      </w:rPr>
      <w:t xml:space="preserve"> </w:t>
    </w:r>
    <w:r w:rsidRPr="007A44CE">
      <w:rPr>
        <w:rFonts w:ascii="Arial" w:hAnsi="Arial" w:cs="Arial"/>
        <w:sz w:val="22"/>
        <w:szCs w:val="22"/>
      </w:rPr>
      <w:t>201</w:t>
    </w:r>
    <w:r w:rsidR="007A44CE" w:rsidRPr="007A44CE">
      <w:rPr>
        <w:rFonts w:ascii="Arial" w:hAnsi="Arial" w:cs="Arial"/>
        <w:sz w:val="22"/>
        <w:szCs w:val="22"/>
      </w:rPr>
      <w:t>8</w:t>
    </w:r>
    <w:r w:rsidR="00B51E1B">
      <w:rPr>
        <w:rFonts w:ascii="Arial" w:hAnsi="Arial" w:cs="Arial"/>
        <w:sz w:val="22"/>
        <w:szCs w:val="22"/>
      </w:rPr>
      <w:t xml:space="preserve"> DRAFT</w:t>
    </w:r>
  </w:p>
  <w:p w14:paraId="4426ED8C" w14:textId="77777777" w:rsidR="00557A15" w:rsidRDefault="00557A15" w:rsidP="00557A15">
    <w:pPr>
      <w:pStyle w:val="Header"/>
      <w:jc w:val="center"/>
      <w:rPr>
        <w:rFonts w:ascii="Arial" w:hAnsi="Arial" w:cs="Arial"/>
      </w:rPr>
    </w:pPr>
  </w:p>
  <w:p w14:paraId="2473F6EB" w14:textId="77777777" w:rsidR="00557A15" w:rsidRPr="00076D55" w:rsidRDefault="00557A15" w:rsidP="00557A15">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1EF0"/>
    <w:multiLevelType w:val="hybridMultilevel"/>
    <w:tmpl w:val="C52CC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679F2"/>
    <w:multiLevelType w:val="hybridMultilevel"/>
    <w:tmpl w:val="53C082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F35B0"/>
    <w:multiLevelType w:val="hybridMultilevel"/>
    <w:tmpl w:val="E4A2D052"/>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D9536D"/>
    <w:multiLevelType w:val="hybridMultilevel"/>
    <w:tmpl w:val="AA0E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D7047"/>
    <w:multiLevelType w:val="hybridMultilevel"/>
    <w:tmpl w:val="2F424F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C0AE2"/>
    <w:multiLevelType w:val="hybridMultilevel"/>
    <w:tmpl w:val="C1405B9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337A42"/>
    <w:multiLevelType w:val="hybridMultilevel"/>
    <w:tmpl w:val="D688B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AC76CE"/>
    <w:multiLevelType w:val="hybridMultilevel"/>
    <w:tmpl w:val="A29E36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B258AF"/>
    <w:multiLevelType w:val="hybridMultilevel"/>
    <w:tmpl w:val="B3B00C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F921BA"/>
    <w:multiLevelType w:val="hybridMultilevel"/>
    <w:tmpl w:val="05DE6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C7076C3"/>
    <w:multiLevelType w:val="hybridMultilevel"/>
    <w:tmpl w:val="39C231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3337E1"/>
    <w:multiLevelType w:val="hybridMultilevel"/>
    <w:tmpl w:val="DCE00C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9F06F7"/>
    <w:multiLevelType w:val="hybridMultilevel"/>
    <w:tmpl w:val="F2C07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B362A6"/>
    <w:multiLevelType w:val="hybridMultilevel"/>
    <w:tmpl w:val="979CE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7"/>
  </w:num>
  <w:num w:numId="4">
    <w:abstractNumId w:val="11"/>
  </w:num>
  <w:num w:numId="5">
    <w:abstractNumId w:val="8"/>
  </w:num>
  <w:num w:numId="6">
    <w:abstractNumId w:val="13"/>
  </w:num>
  <w:num w:numId="7">
    <w:abstractNumId w:val="6"/>
  </w:num>
  <w:num w:numId="8">
    <w:abstractNumId w:val="0"/>
  </w:num>
  <w:num w:numId="9">
    <w:abstractNumId w:val="1"/>
  </w:num>
  <w:num w:numId="10">
    <w:abstractNumId w:val="10"/>
  </w:num>
  <w:num w:numId="11">
    <w:abstractNumId w:val="4"/>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22"/>
    <w:rsid w:val="00000AD8"/>
    <w:rsid w:val="00047F90"/>
    <w:rsid w:val="00076C3B"/>
    <w:rsid w:val="000D1FB4"/>
    <w:rsid w:val="001137FE"/>
    <w:rsid w:val="00135FD2"/>
    <w:rsid w:val="00161E9A"/>
    <w:rsid w:val="001C1C95"/>
    <w:rsid w:val="001C5589"/>
    <w:rsid w:val="00237ACD"/>
    <w:rsid w:val="00255044"/>
    <w:rsid w:val="00264142"/>
    <w:rsid w:val="0027787B"/>
    <w:rsid w:val="002A5FC8"/>
    <w:rsid w:val="00356760"/>
    <w:rsid w:val="003A0DFE"/>
    <w:rsid w:val="003D3D81"/>
    <w:rsid w:val="003E3C63"/>
    <w:rsid w:val="004242AB"/>
    <w:rsid w:val="0043677F"/>
    <w:rsid w:val="0044695D"/>
    <w:rsid w:val="004971DC"/>
    <w:rsid w:val="004A7E3F"/>
    <w:rsid w:val="00531DDB"/>
    <w:rsid w:val="0053310E"/>
    <w:rsid w:val="00557A15"/>
    <w:rsid w:val="005948E4"/>
    <w:rsid w:val="005F6231"/>
    <w:rsid w:val="00666824"/>
    <w:rsid w:val="006742CC"/>
    <w:rsid w:val="006B04BB"/>
    <w:rsid w:val="006C4D53"/>
    <w:rsid w:val="006E5860"/>
    <w:rsid w:val="00725A1D"/>
    <w:rsid w:val="007673B9"/>
    <w:rsid w:val="007A44CE"/>
    <w:rsid w:val="007A604D"/>
    <w:rsid w:val="007B0D9F"/>
    <w:rsid w:val="007B245E"/>
    <w:rsid w:val="007E2F4B"/>
    <w:rsid w:val="00847C5F"/>
    <w:rsid w:val="0088411A"/>
    <w:rsid w:val="008A200B"/>
    <w:rsid w:val="008B3E87"/>
    <w:rsid w:val="008B46A6"/>
    <w:rsid w:val="008C32AD"/>
    <w:rsid w:val="009557C2"/>
    <w:rsid w:val="009A5C55"/>
    <w:rsid w:val="009C4354"/>
    <w:rsid w:val="009D013A"/>
    <w:rsid w:val="009E4FC1"/>
    <w:rsid w:val="00A01B8D"/>
    <w:rsid w:val="00A11AA2"/>
    <w:rsid w:val="00A35859"/>
    <w:rsid w:val="00A577C3"/>
    <w:rsid w:val="00AB7417"/>
    <w:rsid w:val="00AF451B"/>
    <w:rsid w:val="00B208B4"/>
    <w:rsid w:val="00B51E1B"/>
    <w:rsid w:val="00BB38EC"/>
    <w:rsid w:val="00BD494D"/>
    <w:rsid w:val="00C22BD6"/>
    <w:rsid w:val="00C3206C"/>
    <w:rsid w:val="00C65792"/>
    <w:rsid w:val="00C86C8B"/>
    <w:rsid w:val="00C933FC"/>
    <w:rsid w:val="00CE5C22"/>
    <w:rsid w:val="00D122FE"/>
    <w:rsid w:val="00D1704D"/>
    <w:rsid w:val="00D66C52"/>
    <w:rsid w:val="00DE10BE"/>
    <w:rsid w:val="00E1700E"/>
    <w:rsid w:val="00E27894"/>
    <w:rsid w:val="00E42E60"/>
    <w:rsid w:val="00E85708"/>
    <w:rsid w:val="00EA54FC"/>
    <w:rsid w:val="00EA6390"/>
    <w:rsid w:val="00F31AAB"/>
    <w:rsid w:val="00FA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D0AF90"/>
  <w15:docId w15:val="{C2ABF36B-AA4E-4D62-999F-4A2EB85F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Header">
    <w:name w:val="header"/>
    <w:basedOn w:val="Normal"/>
    <w:link w:val="HeaderChar"/>
    <w:unhideWhenUsed/>
    <w:rsid w:val="00557A15"/>
    <w:pPr>
      <w:tabs>
        <w:tab w:val="center" w:pos="4513"/>
        <w:tab w:val="right" w:pos="9026"/>
      </w:tabs>
    </w:pPr>
  </w:style>
  <w:style w:type="character" w:customStyle="1" w:styleId="HeaderChar">
    <w:name w:val="Header Char"/>
    <w:basedOn w:val="DefaultParagraphFont"/>
    <w:link w:val="Header"/>
    <w:uiPriority w:val="99"/>
    <w:rsid w:val="00557A15"/>
    <w:rPr>
      <w:sz w:val="24"/>
      <w:szCs w:val="24"/>
      <w:lang w:val="en-US" w:eastAsia="en-US"/>
    </w:rPr>
  </w:style>
  <w:style w:type="paragraph" w:styleId="Footer">
    <w:name w:val="footer"/>
    <w:basedOn w:val="Normal"/>
    <w:link w:val="FooterChar"/>
    <w:uiPriority w:val="99"/>
    <w:unhideWhenUsed/>
    <w:rsid w:val="00557A15"/>
    <w:pPr>
      <w:tabs>
        <w:tab w:val="center" w:pos="4513"/>
        <w:tab w:val="right" w:pos="9026"/>
      </w:tabs>
    </w:pPr>
  </w:style>
  <w:style w:type="character" w:customStyle="1" w:styleId="FooterChar">
    <w:name w:val="Footer Char"/>
    <w:basedOn w:val="DefaultParagraphFont"/>
    <w:link w:val="Footer"/>
    <w:uiPriority w:val="99"/>
    <w:rsid w:val="00557A15"/>
    <w:rPr>
      <w:sz w:val="24"/>
      <w:szCs w:val="24"/>
      <w:lang w:val="en-US" w:eastAsia="en-US"/>
    </w:rPr>
  </w:style>
  <w:style w:type="paragraph" w:styleId="ListParagraph">
    <w:name w:val="List Paragraph"/>
    <w:basedOn w:val="Normal"/>
    <w:uiPriority w:val="34"/>
    <w:qFormat/>
    <w:rsid w:val="00161E9A"/>
    <w:pPr>
      <w:ind w:left="720"/>
      <w:contextualSpacing/>
    </w:pPr>
  </w:style>
  <w:style w:type="character" w:styleId="CommentReference">
    <w:name w:val="annotation reference"/>
    <w:basedOn w:val="DefaultParagraphFont"/>
    <w:uiPriority w:val="99"/>
    <w:semiHidden/>
    <w:unhideWhenUsed/>
    <w:rsid w:val="005F6231"/>
    <w:rPr>
      <w:sz w:val="16"/>
      <w:szCs w:val="16"/>
    </w:rPr>
  </w:style>
  <w:style w:type="paragraph" w:styleId="CommentText">
    <w:name w:val="annotation text"/>
    <w:basedOn w:val="Normal"/>
    <w:link w:val="CommentTextChar"/>
    <w:uiPriority w:val="99"/>
    <w:semiHidden/>
    <w:unhideWhenUsed/>
    <w:rsid w:val="005F6231"/>
    <w:rPr>
      <w:sz w:val="20"/>
      <w:szCs w:val="20"/>
    </w:rPr>
  </w:style>
  <w:style w:type="character" w:customStyle="1" w:styleId="CommentTextChar">
    <w:name w:val="Comment Text Char"/>
    <w:basedOn w:val="DefaultParagraphFont"/>
    <w:link w:val="CommentText"/>
    <w:uiPriority w:val="99"/>
    <w:semiHidden/>
    <w:rsid w:val="005F6231"/>
    <w:rPr>
      <w:lang w:val="en-US" w:eastAsia="en-US"/>
    </w:rPr>
  </w:style>
  <w:style w:type="paragraph" w:styleId="CommentSubject">
    <w:name w:val="annotation subject"/>
    <w:basedOn w:val="CommentText"/>
    <w:next w:val="CommentText"/>
    <w:link w:val="CommentSubjectChar"/>
    <w:uiPriority w:val="99"/>
    <w:semiHidden/>
    <w:unhideWhenUsed/>
    <w:rsid w:val="005F6231"/>
    <w:rPr>
      <w:b/>
      <w:bCs/>
    </w:rPr>
  </w:style>
  <w:style w:type="character" w:customStyle="1" w:styleId="CommentSubjectChar">
    <w:name w:val="Comment Subject Char"/>
    <w:basedOn w:val="CommentTextChar"/>
    <w:link w:val="CommentSubject"/>
    <w:uiPriority w:val="99"/>
    <w:semiHidden/>
    <w:rsid w:val="005F6231"/>
    <w:rPr>
      <w:b/>
      <w:bCs/>
      <w:lang w:val="en-US" w:eastAsia="en-US"/>
    </w:rPr>
  </w:style>
  <w:style w:type="paragraph" w:styleId="BalloonText">
    <w:name w:val="Balloon Text"/>
    <w:basedOn w:val="Normal"/>
    <w:link w:val="BalloonTextChar"/>
    <w:uiPriority w:val="99"/>
    <w:semiHidden/>
    <w:unhideWhenUsed/>
    <w:rsid w:val="005F6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231"/>
    <w:rPr>
      <w:rFonts w:ascii="Segoe UI" w:hAnsi="Segoe UI" w:cs="Segoe UI"/>
      <w:sz w:val="18"/>
      <w:szCs w:val="18"/>
      <w:lang w:val="en-US" w:eastAsia="en-US"/>
    </w:rPr>
  </w:style>
  <w:style w:type="paragraph" w:styleId="Revision">
    <w:name w:val="Revision"/>
    <w:hidden/>
    <w:uiPriority w:val="99"/>
    <w:semiHidden/>
    <w:rsid w:val="008B46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40DD-7272-4A1A-BBF7-7C608031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Caruana</dc:creator>
  <cp:lastModifiedBy>Allison Currie</cp:lastModifiedBy>
  <cp:revision>2</cp:revision>
  <dcterms:created xsi:type="dcterms:W3CDTF">2018-11-02T16:33:00Z</dcterms:created>
  <dcterms:modified xsi:type="dcterms:W3CDTF">2018-11-02T16:33:00Z</dcterms:modified>
</cp:coreProperties>
</file>